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471" w:rsidRPr="001567C3" w:rsidRDefault="00850471" w:rsidP="00850471">
      <w:pPr>
        <w:ind w:left="-180" w:right="-32"/>
        <w:rPr>
          <w:b/>
          <w:sz w:val="20"/>
          <w:u w:val="single"/>
        </w:rPr>
      </w:pPr>
      <w:r w:rsidRPr="001567C3">
        <w:rPr>
          <w:b/>
          <w:noProof/>
          <w:sz w:val="20"/>
          <w:u w:val="single"/>
        </w:rPr>
        <w:drawing>
          <wp:anchor distT="0" distB="0" distL="114300" distR="114300" simplePos="0" relativeHeight="251659264" behindDoc="1" locked="1" layoutInCell="1" allowOverlap="1" wp14:anchorId="1636D995" wp14:editId="5145F674">
            <wp:simplePos x="0" y="0"/>
            <wp:positionH relativeFrom="page">
              <wp:posOffset>7477125</wp:posOffset>
            </wp:positionH>
            <wp:positionV relativeFrom="page">
              <wp:posOffset>171450</wp:posOffset>
            </wp:positionV>
            <wp:extent cx="2743200" cy="107632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6se="http://schemas.microsoft.com/office/word/2015/wordml/symex" xmlns:cx1="http://schemas.microsoft.com/office/drawing/2015/9/8/chartex" xmlns:cx="http://schemas.microsoft.com/office/drawing/2014/chartex"/>
                      </a:ext>
                    </a:extLst>
                  </pic:spPr>
                </pic:pic>
              </a:graphicData>
            </a:graphic>
          </wp:anchor>
        </w:drawing>
      </w:r>
    </w:p>
    <w:p w:rsidR="00850471" w:rsidRPr="001567C3" w:rsidRDefault="00850471" w:rsidP="00850471">
      <w:pPr>
        <w:ind w:left="-180"/>
        <w:rPr>
          <w:b/>
          <w:sz w:val="20"/>
          <w:u w:val="single"/>
        </w:rPr>
      </w:pPr>
    </w:p>
    <w:p w:rsidR="00850471" w:rsidRPr="001567C3" w:rsidRDefault="00850471" w:rsidP="00850471">
      <w:pPr>
        <w:ind w:left="-180"/>
        <w:rPr>
          <w:b/>
          <w:sz w:val="20"/>
          <w:u w:val="single"/>
        </w:rPr>
      </w:pPr>
    </w:p>
    <w:p w:rsidR="00850471" w:rsidRPr="001567C3" w:rsidRDefault="00850471" w:rsidP="00850471">
      <w:pPr>
        <w:ind w:left="-180"/>
        <w:rPr>
          <w:b/>
          <w:sz w:val="20"/>
          <w:u w:val="single"/>
        </w:rPr>
      </w:pPr>
    </w:p>
    <w:p w:rsidR="00850471" w:rsidRPr="001567C3" w:rsidRDefault="00850471" w:rsidP="00850471">
      <w:pPr>
        <w:ind w:left="-180"/>
        <w:rPr>
          <w:b/>
          <w:sz w:val="20"/>
          <w:u w:val="single"/>
        </w:rPr>
      </w:pPr>
    </w:p>
    <w:p w:rsidR="00850471" w:rsidRPr="001567C3" w:rsidRDefault="00850471" w:rsidP="00850471">
      <w:pPr>
        <w:ind w:left="-180"/>
        <w:rPr>
          <w:b/>
          <w:sz w:val="20"/>
          <w:u w:val="single"/>
        </w:rPr>
      </w:pPr>
    </w:p>
    <w:p w:rsidR="00850471" w:rsidRPr="001567C3" w:rsidRDefault="00850471" w:rsidP="00850471">
      <w:pPr>
        <w:ind w:left="-180"/>
        <w:rPr>
          <w:b/>
          <w:sz w:val="20"/>
          <w:u w:val="single"/>
        </w:rPr>
      </w:pPr>
    </w:p>
    <w:p w:rsidR="00850471" w:rsidRDefault="00850471" w:rsidP="00850471">
      <w:pPr>
        <w:ind w:left="993"/>
        <w:jc w:val="left"/>
        <w:rPr>
          <w:sz w:val="28"/>
        </w:rPr>
      </w:pPr>
      <w:r w:rsidRPr="008E0E3F">
        <w:rPr>
          <w:sz w:val="28"/>
        </w:rPr>
        <w:t xml:space="preserve">Tabela </w:t>
      </w:r>
    </w:p>
    <w:p w:rsidR="00850471" w:rsidRDefault="00850471" w:rsidP="00850471">
      <w:pPr>
        <w:ind w:left="993"/>
        <w:jc w:val="left"/>
        <w:rPr>
          <w:sz w:val="28"/>
        </w:rPr>
      </w:pPr>
      <w:r w:rsidRPr="008E0E3F">
        <w:rPr>
          <w:sz w:val="28"/>
        </w:rPr>
        <w:t xml:space="preserve">pripomb </w:t>
      </w:r>
      <w:r>
        <w:rPr>
          <w:sz w:val="28"/>
        </w:rPr>
        <w:t xml:space="preserve">udeležencev javne obravnave v obdobju od 20. 11. 2017 do 1. 12. 2017 in </w:t>
      </w:r>
    </w:p>
    <w:p w:rsidR="00850471" w:rsidRPr="008E0E3F" w:rsidRDefault="00850471" w:rsidP="00850471">
      <w:pPr>
        <w:ind w:left="993"/>
        <w:jc w:val="left"/>
        <w:rPr>
          <w:sz w:val="28"/>
        </w:rPr>
      </w:pPr>
      <w:r>
        <w:rPr>
          <w:sz w:val="28"/>
        </w:rPr>
        <w:t>odgovorov Agencije za energije na predlog</w:t>
      </w:r>
    </w:p>
    <w:p w:rsidR="00850471" w:rsidRPr="00926143" w:rsidRDefault="00850471" w:rsidP="00850471">
      <w:pPr>
        <w:ind w:left="-180"/>
        <w:jc w:val="center"/>
        <w:rPr>
          <w:b/>
          <w:sz w:val="28"/>
        </w:rPr>
      </w:pPr>
    </w:p>
    <w:p w:rsidR="00850471" w:rsidRPr="008E0E3F" w:rsidRDefault="00850471" w:rsidP="00850471">
      <w:pPr>
        <w:ind w:left="993"/>
        <w:jc w:val="left"/>
        <w:rPr>
          <w:b/>
          <w:sz w:val="28"/>
        </w:rPr>
      </w:pPr>
      <w:r w:rsidRPr="008E0E3F">
        <w:rPr>
          <w:b/>
          <w:sz w:val="28"/>
        </w:rPr>
        <w:t>Akta o določitvi metodologije za določanje cen sistemskih storitev</w:t>
      </w:r>
    </w:p>
    <w:p w:rsidR="00850471" w:rsidRPr="00926143" w:rsidRDefault="00850471" w:rsidP="00850471">
      <w:pPr>
        <w:jc w:val="center"/>
        <w:rPr>
          <w:b/>
          <w:sz w:val="28"/>
        </w:rPr>
      </w:pPr>
    </w:p>
    <w:p w:rsidR="00850471" w:rsidRPr="00330CF5" w:rsidRDefault="00850471" w:rsidP="00850471">
      <w:pPr>
        <w:rPr>
          <w:sz w:val="20"/>
        </w:rPr>
      </w:pPr>
    </w:p>
    <w:p w:rsidR="00850471" w:rsidRPr="00330CF5" w:rsidRDefault="00850471" w:rsidP="00850471">
      <w:pPr>
        <w:pStyle w:val="Glava"/>
        <w:tabs>
          <w:tab w:val="clear" w:pos="4536"/>
          <w:tab w:val="clear" w:pos="9072"/>
        </w:tabs>
        <w:rPr>
          <w:sz w:val="20"/>
        </w:rPr>
      </w:pPr>
    </w:p>
    <w:tbl>
      <w:tblPr>
        <w:tblW w:w="0" w:type="auto"/>
        <w:tblInd w:w="279" w:type="dxa"/>
        <w:tblBorders>
          <w:bottom w:val="single" w:sz="4" w:space="0" w:color="auto"/>
        </w:tblBorders>
        <w:tblCellMar>
          <w:left w:w="70" w:type="dxa"/>
          <w:right w:w="70" w:type="dxa"/>
        </w:tblCellMar>
        <w:tblLook w:val="0000" w:firstRow="0" w:lastRow="0" w:firstColumn="0" w:lastColumn="0" w:noHBand="0" w:noVBand="0"/>
      </w:tblPr>
      <w:tblGrid>
        <w:gridCol w:w="830"/>
        <w:gridCol w:w="1518"/>
        <w:gridCol w:w="2069"/>
        <w:gridCol w:w="4048"/>
        <w:gridCol w:w="3309"/>
        <w:gridCol w:w="3335"/>
      </w:tblGrid>
      <w:tr w:rsidR="00850471" w:rsidRPr="0044289B" w:rsidTr="002F1983">
        <w:trPr>
          <w:trHeight w:val="519"/>
        </w:trPr>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rsidR="00850471" w:rsidRPr="0044289B" w:rsidRDefault="00850471" w:rsidP="002F1983">
            <w:pPr>
              <w:rPr>
                <w:b/>
                <w:sz w:val="18"/>
              </w:rPr>
            </w:pPr>
            <w:r w:rsidRPr="0044289B">
              <w:rPr>
                <w:b/>
                <w:sz w:val="18"/>
              </w:rPr>
              <w:t>Zap.št.</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rsidR="00850471" w:rsidRPr="0044289B" w:rsidRDefault="00850471" w:rsidP="002F1983">
            <w:pPr>
              <w:jc w:val="center"/>
              <w:rPr>
                <w:b/>
                <w:sz w:val="18"/>
              </w:rPr>
            </w:pPr>
            <w:r w:rsidRPr="0044289B">
              <w:rPr>
                <w:b/>
                <w:sz w:val="18"/>
              </w:rPr>
              <w:t>Št. člena</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rsidR="00850471" w:rsidRPr="0044289B" w:rsidRDefault="00850471" w:rsidP="002F1983">
            <w:pPr>
              <w:jc w:val="center"/>
              <w:rPr>
                <w:b/>
                <w:sz w:val="18"/>
              </w:rPr>
            </w:pPr>
            <w:r w:rsidRPr="0044289B">
              <w:rPr>
                <w:b/>
                <w:sz w:val="18"/>
              </w:rPr>
              <w:t>Predlagatelj</w:t>
            </w:r>
          </w:p>
        </w:tc>
        <w:tc>
          <w:tcPr>
            <w:tcW w:w="0" w:type="auto"/>
            <w:tcBorders>
              <w:top w:val="single" w:sz="4" w:space="0" w:color="auto"/>
              <w:left w:val="single" w:sz="4" w:space="0" w:color="auto"/>
              <w:bottom w:val="single" w:sz="4" w:space="0" w:color="auto"/>
              <w:right w:val="single" w:sz="4" w:space="0" w:color="auto"/>
            </w:tcBorders>
            <w:shd w:val="clear" w:color="auto" w:fill="B6DDE8"/>
            <w:vAlign w:val="center"/>
          </w:tcPr>
          <w:p w:rsidR="00850471" w:rsidRPr="0044289B" w:rsidRDefault="00850471" w:rsidP="002F1983">
            <w:pPr>
              <w:jc w:val="center"/>
              <w:rPr>
                <w:b/>
                <w:sz w:val="18"/>
              </w:rPr>
            </w:pPr>
            <w:r w:rsidRPr="0044289B">
              <w:rPr>
                <w:b/>
                <w:sz w:val="18"/>
              </w:rPr>
              <w:t>Vsebina pripombe oz. predloga</w:t>
            </w:r>
          </w:p>
        </w:tc>
        <w:tc>
          <w:tcPr>
            <w:tcW w:w="0" w:type="auto"/>
            <w:tcBorders>
              <w:top w:val="single" w:sz="4" w:space="0" w:color="auto"/>
              <w:bottom w:val="single" w:sz="4" w:space="0" w:color="auto"/>
              <w:right w:val="single" w:sz="4" w:space="0" w:color="auto"/>
            </w:tcBorders>
            <w:shd w:val="clear" w:color="auto" w:fill="B6DDE8"/>
            <w:vAlign w:val="center"/>
          </w:tcPr>
          <w:p w:rsidR="00850471" w:rsidRPr="0044289B" w:rsidRDefault="00850471" w:rsidP="002F1983">
            <w:pPr>
              <w:jc w:val="center"/>
              <w:rPr>
                <w:b/>
                <w:sz w:val="18"/>
              </w:rPr>
            </w:pPr>
            <w:r w:rsidRPr="0044289B">
              <w:rPr>
                <w:b/>
                <w:sz w:val="18"/>
              </w:rPr>
              <w:t>Utemeljitev</w:t>
            </w:r>
          </w:p>
        </w:tc>
        <w:tc>
          <w:tcPr>
            <w:tcW w:w="0" w:type="auto"/>
            <w:tcBorders>
              <w:top w:val="single" w:sz="4" w:space="0" w:color="auto"/>
              <w:bottom w:val="single" w:sz="4" w:space="0" w:color="auto"/>
              <w:right w:val="single" w:sz="4" w:space="0" w:color="auto"/>
            </w:tcBorders>
            <w:shd w:val="clear" w:color="auto" w:fill="B6DDE8"/>
            <w:vAlign w:val="center"/>
          </w:tcPr>
          <w:p w:rsidR="00850471" w:rsidRPr="0044289B" w:rsidRDefault="00850471" w:rsidP="002F1983">
            <w:pPr>
              <w:jc w:val="center"/>
              <w:rPr>
                <w:b/>
                <w:sz w:val="18"/>
              </w:rPr>
            </w:pPr>
            <w:r w:rsidRPr="0044289B">
              <w:rPr>
                <w:b/>
                <w:sz w:val="18"/>
              </w:rPr>
              <w:t>Utemeljitev Agencije za energijo</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SPLOŠNO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Kako Agencija predvideva ureditev odstopanj od pogodb za nudenje sistemskih storitev, sklenjenih v skladu s tem Aktom – pogodbene kazni? Predlagamo določitev kazni za primer, ko ponudnik ne nudi s pogodbo obljubljenega obsega sistemskih storitev.</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Na predstavitvi Akta je bilo že slišati mnenje ponudnika, da v kolikor ni penala pri takšni pogodbi, ne bodo kljub podpisani pogodbi nudili potrebne sistemske storitve.</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 xml:space="preserve">Pogodba bo v primeru izdane odločbe s strani </w:t>
            </w:r>
            <w:r>
              <w:rPr>
                <w:sz w:val="18"/>
              </w:rPr>
              <w:t>a</w:t>
            </w:r>
            <w:r w:rsidRPr="0044289B">
              <w:rPr>
                <w:sz w:val="18"/>
              </w:rPr>
              <w:t xml:space="preserve">gencije lahko vsebovala elemente, ki bodo omogočali neposredno izvajanje storitev s korektivnimi mehanizmi. </w:t>
            </w:r>
          </w:p>
        </w:tc>
      </w:tr>
      <w:tr w:rsidR="00850471" w:rsidRPr="0044289B" w:rsidTr="002F1983">
        <w:tblPrEx>
          <w:tblBorders>
            <w:bottom w:val="single" w:sz="3" w:space="0" w:color="auto"/>
          </w:tblBorders>
          <w:tblCellMar>
            <w:left w:w="52" w:type="dxa"/>
            <w:right w:w="52" w:type="dxa"/>
          </w:tblCellMar>
        </w:tblPrEx>
        <w:tc>
          <w:tcPr>
            <w:tcW w:w="0" w:type="auto"/>
            <w:tcBorders>
              <w:top w:val="single" w:sz="3" w:space="0" w:color="auto"/>
              <w:left w:val="single" w:sz="3" w:space="0" w:color="auto"/>
              <w:bottom w:val="single" w:sz="3" w:space="0" w:color="auto"/>
              <w:right w:val="single" w:sz="3" w:space="0" w:color="auto"/>
            </w:tcBorders>
          </w:tcPr>
          <w:p w:rsidR="00850471" w:rsidRPr="0044289B" w:rsidRDefault="00850471" w:rsidP="00850471">
            <w:pPr>
              <w:pStyle w:val="Odstavekseznama"/>
              <w:numPr>
                <w:ilvl w:val="0"/>
                <w:numId w:val="15"/>
              </w:numPr>
              <w:jc w:val="left"/>
              <w:rPr>
                <w:sz w:val="18"/>
              </w:rPr>
            </w:pPr>
          </w:p>
        </w:tc>
        <w:tc>
          <w:tcPr>
            <w:tcW w:w="0" w:type="auto"/>
            <w:tcBorders>
              <w:top w:val="single" w:sz="3" w:space="0" w:color="auto"/>
              <w:left w:val="single" w:sz="3" w:space="0" w:color="auto"/>
              <w:bottom w:val="single" w:sz="3" w:space="0" w:color="auto"/>
              <w:right w:val="single" w:sz="3" w:space="0" w:color="auto"/>
            </w:tcBorders>
          </w:tcPr>
          <w:p w:rsidR="00850471" w:rsidRPr="0044289B" w:rsidRDefault="00850471" w:rsidP="002F1983">
            <w:pPr>
              <w:jc w:val="left"/>
              <w:rPr>
                <w:sz w:val="18"/>
              </w:rPr>
            </w:pPr>
            <w:r w:rsidRPr="0044289B">
              <w:rPr>
                <w:sz w:val="18"/>
              </w:rPr>
              <w:t>SPLOŠNO</w:t>
            </w:r>
          </w:p>
        </w:tc>
        <w:tc>
          <w:tcPr>
            <w:tcW w:w="0" w:type="auto"/>
            <w:tcBorders>
              <w:top w:val="single" w:sz="3" w:space="0" w:color="auto"/>
              <w:left w:val="single" w:sz="3" w:space="0" w:color="auto"/>
              <w:bottom w:val="single" w:sz="3" w:space="0" w:color="auto"/>
              <w:right w:val="single" w:sz="3"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3" w:space="0" w:color="auto"/>
              <w:left w:val="single" w:sz="3" w:space="0" w:color="auto"/>
              <w:bottom w:val="single" w:sz="3" w:space="0" w:color="auto"/>
              <w:right w:val="single" w:sz="3" w:space="0" w:color="auto"/>
            </w:tcBorders>
          </w:tcPr>
          <w:p w:rsidR="00850471" w:rsidRPr="0044289B" w:rsidRDefault="00850471" w:rsidP="002F1983">
            <w:pPr>
              <w:rPr>
                <w:sz w:val="18"/>
                <w:szCs w:val="22"/>
              </w:rPr>
            </w:pPr>
            <w:r w:rsidRPr="0044289B">
              <w:rPr>
                <w:sz w:val="18"/>
                <w:szCs w:val="22"/>
              </w:rPr>
              <w:t>Kako bo Agencija postopala v primeru nesklenitve pogodbe za nudenje negativne terciarne regulacije?</w:t>
            </w:r>
          </w:p>
        </w:tc>
        <w:tc>
          <w:tcPr>
            <w:tcW w:w="0" w:type="auto"/>
            <w:tcBorders>
              <w:top w:val="single" w:sz="3" w:space="0" w:color="auto"/>
              <w:bottom w:val="single" w:sz="3" w:space="0" w:color="auto"/>
              <w:right w:val="single" w:sz="3" w:space="0" w:color="auto"/>
            </w:tcBorders>
          </w:tcPr>
          <w:p w:rsidR="00850471" w:rsidRPr="0044289B" w:rsidRDefault="00850471" w:rsidP="002F1983">
            <w:pPr>
              <w:rPr>
                <w:sz w:val="18"/>
              </w:rPr>
            </w:pPr>
            <w:r w:rsidRPr="0044289B">
              <w:rPr>
                <w:sz w:val="18"/>
              </w:rPr>
              <w:t>Dejstvo je, da mora ELES skladno z EU pravili v vsakem trenutku poleg pozitivne terciarne regulacije zagotavljati tudi negativno terciarno regulacijo – ne glede na to, da naš EZ-1 tega pojma ne pozna. Hkrati pa potreba po negativni terciarni regulaciji raste vsak dan z vse večjim številom priključenih OVE na omrežje.</w:t>
            </w:r>
          </w:p>
        </w:tc>
        <w:tc>
          <w:tcPr>
            <w:tcW w:w="0" w:type="auto"/>
            <w:tcBorders>
              <w:top w:val="single" w:sz="3" w:space="0" w:color="auto"/>
              <w:bottom w:val="single" w:sz="3" w:space="0" w:color="auto"/>
              <w:right w:val="single" w:sz="3" w:space="0" w:color="auto"/>
            </w:tcBorders>
          </w:tcPr>
          <w:p w:rsidR="00850471" w:rsidRPr="0044289B" w:rsidRDefault="00850471" w:rsidP="002F1983">
            <w:pPr>
              <w:rPr>
                <w:sz w:val="18"/>
              </w:rPr>
            </w:pPr>
            <w:r w:rsidRPr="0044289B">
              <w:rPr>
                <w:sz w:val="18"/>
              </w:rPr>
              <w:t xml:space="preserve">Agencija je v splošnem aktu zasledovala veljavno zakonodajo (1. odstavek EZ-1), kjer eksplicitno ni navedena negativna terciarna regulacija. </w:t>
            </w:r>
            <w:r>
              <w:rPr>
                <w:sz w:val="18"/>
              </w:rPr>
              <w:t xml:space="preserve">Če </w:t>
            </w:r>
            <w:r w:rsidRPr="0044289B">
              <w:rPr>
                <w:sz w:val="18"/>
              </w:rPr>
              <w:t xml:space="preserve">bo zakonodajna norma spremenjena, bo </w:t>
            </w:r>
            <w:r>
              <w:rPr>
                <w:sz w:val="18"/>
              </w:rPr>
              <w:t>a</w:t>
            </w:r>
            <w:r w:rsidRPr="0044289B">
              <w:rPr>
                <w:sz w:val="18"/>
              </w:rPr>
              <w:t xml:space="preserve">gencija splošni akt ustrezno dopolnila.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3.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Med navedenimi viri ni naveden DSM ali baterije. Predlagamo, da se v aktu definira določitev cene tudi za vire, ki niso obravnavani v aktu. Morda kar povprečna specifična cena zakupa vseh obravnavanih tehnologij.</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 xml:space="preserve">Dejstvo je, da so DSM ponudniki sekundarne regulacije že na trgu in se z ELES-om tudi aktivno pogovarjajo o morebitnem sodelovanju v sekundarni regulaciji. Akt bi moral dopuščati sodelovanje v sekundarni regulaciji </w:t>
            </w:r>
            <w:r w:rsidRPr="0044289B">
              <w:rPr>
                <w:sz w:val="18"/>
              </w:rPr>
              <w:lastRenderedPageBreak/>
              <w:t xml:space="preserve">tudi nekonvencionalnim ponudnikom. </w:t>
            </w:r>
          </w:p>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lastRenderedPageBreak/>
              <w:t>Akt zasleduje opredelitev cen posameznih storitev na trgu, kjer so stroški znani in je možno izpolniti zakonodajni zahtevek iz 4. odstavka 74. člena EZ-1.</w:t>
            </w:r>
          </w:p>
          <w:p w:rsidR="00850471" w:rsidRPr="0044289B" w:rsidRDefault="00850471" w:rsidP="002F1983">
            <w:pPr>
              <w:rPr>
                <w:sz w:val="18"/>
              </w:rPr>
            </w:pPr>
            <w:r>
              <w:rPr>
                <w:sz w:val="18"/>
              </w:rPr>
              <w:t>Če b</w:t>
            </w:r>
            <w:r w:rsidRPr="0044289B">
              <w:rPr>
                <w:sz w:val="18"/>
              </w:rPr>
              <w:t>o ELES</w:t>
            </w:r>
            <w:r>
              <w:rPr>
                <w:sz w:val="18"/>
              </w:rPr>
              <w:t>-u</w:t>
            </w:r>
            <w:r w:rsidRPr="0044289B">
              <w:rPr>
                <w:sz w:val="18"/>
              </w:rPr>
              <w:t xml:space="preserve"> v prihodnjem obdobju uspel</w:t>
            </w:r>
            <w:r>
              <w:rPr>
                <w:sz w:val="18"/>
              </w:rPr>
              <w:t>o</w:t>
            </w:r>
            <w:r w:rsidRPr="0044289B">
              <w:rPr>
                <w:sz w:val="18"/>
              </w:rPr>
              <w:t xml:space="preserve"> zagotoviti avtomatsko regulacijo (aFRR) iz </w:t>
            </w:r>
            <w:r w:rsidRPr="0044289B">
              <w:rPr>
                <w:sz w:val="18"/>
              </w:rPr>
              <w:lastRenderedPageBreak/>
              <w:t xml:space="preserve">novih tehnologij, bo </w:t>
            </w:r>
            <w:r>
              <w:rPr>
                <w:sz w:val="18"/>
              </w:rPr>
              <w:t>a</w:t>
            </w:r>
            <w:r w:rsidRPr="0044289B">
              <w:rPr>
                <w:sz w:val="18"/>
              </w:rPr>
              <w:t>gencija splošni akt dopolnila.</w:t>
            </w:r>
          </w:p>
          <w:p w:rsidR="00850471" w:rsidRPr="0044289B" w:rsidRDefault="00850471" w:rsidP="002F1983">
            <w:pPr>
              <w:rPr>
                <w:sz w:val="18"/>
              </w:rPr>
            </w:pPr>
            <w:r w:rsidRPr="0044289B">
              <w:rPr>
                <w:sz w:val="18"/>
              </w:rPr>
              <w:t>V prehodnem obdobju menimo, da ne bi bilo ustrezno rešiti odprt</w:t>
            </w:r>
            <w:r>
              <w:rPr>
                <w:sz w:val="18"/>
              </w:rPr>
              <w:t>ega</w:t>
            </w:r>
            <w:r w:rsidRPr="0044289B">
              <w:rPr>
                <w:sz w:val="18"/>
              </w:rPr>
              <w:t xml:space="preserve"> vprašanj</w:t>
            </w:r>
            <w:r>
              <w:rPr>
                <w:sz w:val="18"/>
              </w:rPr>
              <w:t>a</w:t>
            </w:r>
            <w:r w:rsidRPr="0044289B">
              <w:rPr>
                <w:sz w:val="18"/>
              </w:rPr>
              <w:t xml:space="preserve"> z načinom določanja povprečne specifičn</w:t>
            </w:r>
            <w:r>
              <w:rPr>
                <w:sz w:val="18"/>
              </w:rPr>
              <w:t>e</w:t>
            </w:r>
            <w:r w:rsidRPr="0044289B">
              <w:rPr>
                <w:sz w:val="18"/>
              </w:rPr>
              <w:t xml:space="preserve"> cene zakupa vseh obravnavanih tehnologij, saj bi se s tem distancirali od zakonodajne norme.</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3. člen (4)</w:t>
            </w:r>
          </w:p>
          <w:p w:rsidR="00850471" w:rsidRPr="0044289B" w:rsidRDefault="00850471" w:rsidP="002F1983">
            <w:pPr>
              <w:rPr>
                <w:sz w:val="18"/>
              </w:rPr>
            </w:pPr>
            <w:r w:rsidRPr="0044289B">
              <w:rPr>
                <w:sz w:val="18"/>
              </w:rPr>
              <w:t>11. člen (3)</w:t>
            </w:r>
          </w:p>
          <w:p w:rsidR="00850471" w:rsidRPr="0044289B" w:rsidRDefault="00850471" w:rsidP="002F1983">
            <w:p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Vprašanje ali ista specifična cena velja tako za pozitiven kot negativen obseg regulacije oziroma ali se upošteva da je zakup sekundarne regulacije vedno v pozitivnem in negativnem obsegu?</w:t>
            </w:r>
          </w:p>
          <w:p w:rsidR="00850471" w:rsidRPr="0044289B" w:rsidRDefault="00850471" w:rsidP="002F1983">
            <w:pPr>
              <w:rPr>
                <w:sz w:val="18"/>
                <w:szCs w:val="22"/>
              </w:rPr>
            </w:pPr>
            <w:r w:rsidRPr="0044289B">
              <w:rPr>
                <w:sz w:val="18"/>
                <w:szCs w:val="22"/>
              </w:rPr>
              <w:t>Želeli bi, da se v Akt zapiše ločeno enačbo za izračun cen za pozitivno in negativno sekundarno regulacijo, podobno tudi za terciarno regulacijo.</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highlight w:val="yellow"/>
              </w:rPr>
            </w:pPr>
            <w:r w:rsidRPr="0044289B">
              <w:rPr>
                <w:sz w:val="18"/>
              </w:rPr>
              <w:t>Skladno z EU pravili je potrebno ločiti ceno za pozitivno in negativno regulacijo.</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Akt glede na 1.</w:t>
            </w:r>
            <w:r>
              <w:rPr>
                <w:sz w:val="18"/>
              </w:rPr>
              <w:t xml:space="preserve"> </w:t>
            </w:r>
            <w:r w:rsidRPr="0044289B">
              <w:rPr>
                <w:sz w:val="18"/>
              </w:rPr>
              <w:t>člen 74. člena EZ-1 določa zakup</w:t>
            </w:r>
            <w:r>
              <w:rPr>
                <w:sz w:val="18"/>
              </w:rPr>
              <w:t xml:space="preserve"> le </w:t>
            </w:r>
            <w:r w:rsidRPr="0044289B">
              <w:rPr>
                <w:sz w:val="18"/>
              </w:rPr>
              <w:t>za »pozitivno</w:t>
            </w:r>
            <w:r>
              <w:rPr>
                <w:sz w:val="18"/>
              </w:rPr>
              <w:t xml:space="preserve">« regulacijo. Predlog o ločenem obračunu energije bo upoštevan. </w:t>
            </w:r>
          </w:p>
          <w:p w:rsidR="00850471" w:rsidRPr="0044289B" w:rsidRDefault="00850471" w:rsidP="002F1983">
            <w:pPr>
              <w:rPr>
                <w:sz w:val="18"/>
              </w:rPr>
            </w:pPr>
          </w:p>
          <w:p w:rsidR="00850471" w:rsidRPr="0044289B" w:rsidRDefault="00850471" w:rsidP="002F1983">
            <w:pPr>
              <w:rPr>
                <w:sz w:val="18"/>
              </w:rPr>
            </w:pP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p>
          <w:p w:rsidR="00850471" w:rsidRPr="0044289B" w:rsidRDefault="00850471" w:rsidP="002F1983">
            <w:pPr>
              <w:rPr>
                <w:sz w:val="18"/>
              </w:rPr>
            </w:pPr>
            <w:r w:rsidRPr="0044289B">
              <w:rPr>
                <w:sz w:val="18"/>
              </w:rPr>
              <w:t>11. člen (3)</w:t>
            </w:r>
          </w:p>
          <w:p w:rsidR="00850471" w:rsidRPr="0044289B" w:rsidRDefault="00850471" w:rsidP="002F1983">
            <w:pPr>
              <w:rPr>
                <w:sz w:val="18"/>
              </w:rPr>
            </w:pPr>
            <w:r w:rsidRPr="0044289B">
              <w:rPr>
                <w:sz w:val="18"/>
              </w:rPr>
              <w:t>12. člen (3),(5)</w:t>
            </w:r>
          </w:p>
          <w:p w:rsidR="00850471" w:rsidRPr="0044289B" w:rsidRDefault="00850471" w:rsidP="002F1983">
            <w:pPr>
              <w:rPr>
                <w:sz w:val="18"/>
              </w:rPr>
            </w:pPr>
            <w:r w:rsidRPr="0044289B">
              <w:rPr>
                <w:sz w:val="18"/>
              </w:rPr>
              <w:t>15. člen (1)</w:t>
            </w:r>
          </w:p>
          <w:p w:rsidR="00850471" w:rsidRPr="0044289B" w:rsidRDefault="00850471" w:rsidP="002F1983">
            <w:pPr>
              <w:rPr>
                <w:sz w:val="18"/>
              </w:rPr>
            </w:pPr>
            <w:r w:rsidRPr="0044289B">
              <w:rPr>
                <w:sz w:val="18"/>
              </w:rPr>
              <w:t>16. člen (1)</w:t>
            </w:r>
          </w:p>
          <w:p w:rsidR="00850471" w:rsidRPr="0044289B" w:rsidRDefault="00850471" w:rsidP="002F1983">
            <w:pPr>
              <w:rPr>
                <w:sz w:val="18"/>
              </w:rPr>
            </w:pPr>
            <w:r w:rsidRPr="0044289B">
              <w:rPr>
                <w:sz w:val="18"/>
              </w:rPr>
              <w:t>20. člen (3)</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 xml:space="preserve">Ali se pri določitvi cene terciarne regulacije uporabi enotno pravilo kot pri sekundarni regulaciji, kjer je izračun narejen na referenčno določenih parametrih (3. člen (3))? Iz opisa izračuna cen terciarne regulacije sklepamo, da temu ni tako, in da se cena izračuna ločeno za vsako enoto, ki nudi to storitev. Vendar je v tem primeru premalo definirano, kako se preračuna strošek za enote z drugačno nazivno močjo.  </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V tabelah s podatki za izračun cene terciarne regulacije sta navedeni dve plinski turbini (50 MW in 130 MW). Kateri podatek se upošteva? Kako se potem izračuna strošek (npr. investicijski) za plinsko turbino z nazivno močjo 100 MW? Z linearno regresijo?</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 xml:space="preserve">Predlog akta že v </w:t>
            </w:r>
            <w:r w:rsidRPr="0044289B">
              <w:rPr>
                <w:sz w:val="18"/>
              </w:rPr>
              <w:t>18.</w:t>
            </w:r>
            <w:r>
              <w:rPr>
                <w:sz w:val="18"/>
              </w:rPr>
              <w:t xml:space="preserve"> </w:t>
            </w:r>
            <w:r w:rsidRPr="0044289B">
              <w:rPr>
                <w:sz w:val="18"/>
              </w:rPr>
              <w:t>člen</w:t>
            </w:r>
            <w:r>
              <w:rPr>
                <w:sz w:val="18"/>
              </w:rPr>
              <w:t xml:space="preserve">u predvideva v primeru drugačnih vrednosti proizvodnih enot instaliranih moči, ki niso v aktu, ustrezno </w:t>
            </w:r>
            <w:r w:rsidRPr="0044289B">
              <w:rPr>
                <w:sz w:val="18"/>
              </w:rPr>
              <w:t>linearizacijo.</w:t>
            </w:r>
            <w:r>
              <w:rPr>
                <w:sz w:val="18"/>
              </w:rPr>
              <w:t xml:space="preserve"> Sicer pa je</w:t>
            </w:r>
            <w:r w:rsidRPr="0044289B">
              <w:rPr>
                <w:sz w:val="18"/>
              </w:rPr>
              <w:t xml:space="preserve"> </w:t>
            </w:r>
            <w:r>
              <w:rPr>
                <w:sz w:val="18"/>
              </w:rPr>
              <w:t>a</w:t>
            </w:r>
            <w:r w:rsidRPr="0044289B">
              <w:rPr>
                <w:sz w:val="18"/>
              </w:rPr>
              <w:t>gencija izhajala iz obstoječega stanja proizvodnih objektov v Sloveniji, saj je namera akta, da se opredelijo referenčne cene za posamezne tehnologije</w:t>
            </w:r>
            <w:r>
              <w:rPr>
                <w:sz w:val="18"/>
              </w:rPr>
              <w:t>.</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color w:val="auto"/>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color w:val="auto"/>
                <w:sz w:val="18"/>
              </w:rPr>
            </w:pPr>
            <w:r w:rsidRPr="0044289B">
              <w:rPr>
                <w:color w:val="auto"/>
                <w:sz w:val="18"/>
              </w:rPr>
              <w:t>4. člen (4)</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color w:val="auto"/>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color w:val="auto"/>
                <w:sz w:val="18"/>
                <w:szCs w:val="22"/>
              </w:rPr>
            </w:pPr>
            <w:r w:rsidRPr="0044289B">
              <w:rPr>
                <w:color w:val="auto"/>
                <w:sz w:val="18"/>
                <w:szCs w:val="22"/>
              </w:rPr>
              <w:t xml:space="preserve">Želeli bi, da je inštalirana električna moč enote posameznih tehnologij </w:t>
            </w:r>
            <w:r w:rsidRPr="0044289B">
              <w:rPr>
                <w:i/>
                <w:color w:val="auto"/>
                <w:sz w:val="18"/>
                <w:szCs w:val="22"/>
              </w:rPr>
              <w:t>P</w:t>
            </w:r>
            <w:r w:rsidRPr="0044289B">
              <w:rPr>
                <w:i/>
                <w:color w:val="auto"/>
                <w:sz w:val="18"/>
                <w:szCs w:val="22"/>
                <w:vertAlign w:val="subscript"/>
              </w:rPr>
              <w:t>inst_T</w:t>
            </w:r>
            <w:r w:rsidRPr="0044289B">
              <w:rPr>
                <w:color w:val="auto"/>
                <w:sz w:val="18"/>
                <w:szCs w:val="22"/>
              </w:rPr>
              <w:t xml:space="preserve"> podana posebej v tabeli in ne le pri razlagi pomenov investicijskih stroškov.</w:t>
            </w:r>
          </w:p>
          <w:p w:rsidR="00850471" w:rsidRPr="0044289B" w:rsidRDefault="00850471" w:rsidP="002F1983">
            <w:pPr>
              <w:rPr>
                <w:color w:val="auto"/>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color w:val="auto"/>
                <w:sz w:val="18"/>
              </w:rPr>
            </w:pPr>
            <w:r w:rsidRPr="0044289B">
              <w:rPr>
                <w:color w:val="auto"/>
                <w:sz w:val="18"/>
              </w:rPr>
              <w:t>Zaradi nedvoumnosti izračuna.</w:t>
            </w:r>
          </w:p>
        </w:tc>
        <w:tc>
          <w:tcPr>
            <w:tcW w:w="0" w:type="auto"/>
            <w:tcBorders>
              <w:top w:val="single" w:sz="4" w:space="0" w:color="auto"/>
              <w:bottom w:val="single" w:sz="4" w:space="0" w:color="auto"/>
              <w:right w:val="single" w:sz="4" w:space="0" w:color="auto"/>
            </w:tcBorders>
          </w:tcPr>
          <w:p w:rsidR="00850471" w:rsidRPr="0044289B" w:rsidRDefault="00850471" w:rsidP="002F1983">
            <w:pPr>
              <w:rPr>
                <w:color w:val="auto"/>
                <w:sz w:val="18"/>
              </w:rPr>
            </w:pPr>
            <w:r>
              <w:rPr>
                <w:sz w:val="18"/>
              </w:rPr>
              <w:t xml:space="preserve">Zbirno navajanje vrednosti investicijskih stroškov skupaj s podatkom o instalirani moči je nujno zaradi nedvoumnosti.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5. člen (3)</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 xml:space="preserve">Pri opisu </w:t>
            </w:r>
            <w:r w:rsidRPr="0044289B">
              <w:rPr>
                <w:i/>
                <w:sz w:val="18"/>
                <w:szCs w:val="22"/>
              </w:rPr>
              <w:t>Q</w:t>
            </w:r>
            <w:r w:rsidRPr="0044289B">
              <w:rPr>
                <w:i/>
                <w:sz w:val="18"/>
                <w:szCs w:val="22"/>
                <w:vertAlign w:val="subscript"/>
              </w:rPr>
              <w:t xml:space="preserve">sp_SRO_i </w:t>
            </w:r>
            <w:r w:rsidRPr="0044289B">
              <w:rPr>
                <w:sz w:val="18"/>
                <w:szCs w:val="22"/>
              </w:rPr>
              <w:t xml:space="preserve">in </w:t>
            </w:r>
            <w:r w:rsidRPr="0044289B">
              <w:rPr>
                <w:i/>
                <w:sz w:val="18"/>
                <w:szCs w:val="22"/>
              </w:rPr>
              <w:t>Q</w:t>
            </w:r>
            <w:r w:rsidRPr="0044289B">
              <w:rPr>
                <w:i/>
                <w:sz w:val="18"/>
                <w:szCs w:val="22"/>
                <w:vertAlign w:val="subscript"/>
              </w:rPr>
              <w:t xml:space="preserve">_sp_i </w:t>
            </w:r>
            <w:r w:rsidRPr="0044289B">
              <w:rPr>
                <w:sz w:val="18"/>
                <w:szCs w:val="22"/>
              </w:rPr>
              <w:t>predlagamo sledeč tekst: »neto specifična poraba toplote turbine…«</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Obstoječa razlaga »</w:t>
            </w:r>
            <w:r w:rsidRPr="0044289B">
              <w:rPr>
                <w:sz w:val="18"/>
                <w:szCs w:val="22"/>
              </w:rPr>
              <w:t>neto specifična poraba toplote brez kotla…</w:t>
            </w:r>
            <w:r w:rsidRPr="0044289B">
              <w:rPr>
                <w:sz w:val="18"/>
              </w:rPr>
              <w:t>« je malo nejasna</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Defini</w:t>
            </w:r>
            <w:r>
              <w:rPr>
                <w:sz w:val="18"/>
              </w:rPr>
              <w:t xml:space="preserve">cija je odraz </w:t>
            </w:r>
            <w:r w:rsidRPr="0044289B">
              <w:rPr>
                <w:sz w:val="18"/>
              </w:rPr>
              <w:t>strokovn</w:t>
            </w:r>
            <w:r>
              <w:rPr>
                <w:sz w:val="18"/>
              </w:rPr>
              <w:t>ega navajanja in menimo, da je ustrezna.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7. člen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Ali pri nizkotlačnih elektrarnah ni dodatne izgube padca? Če je tako, bi zaradi nedvoumnosti želeli da se v členu dopiše, da se za nizkotlačne elektrarne teh stroškov ne upošteva/računa.</w:t>
            </w:r>
          </w:p>
          <w:p w:rsidR="00850471" w:rsidRPr="0044289B" w:rsidRDefault="00850471" w:rsidP="002F1983">
            <w:pPr>
              <w:rPr>
                <w:sz w:val="18"/>
                <w:szCs w:val="22"/>
              </w:rPr>
            </w:pPr>
          </w:p>
          <w:p w:rsidR="00850471" w:rsidRPr="0044289B" w:rsidRDefault="00850471" w:rsidP="002F1983">
            <w:pPr>
              <w:rPr>
                <w:sz w:val="18"/>
                <w:szCs w:val="22"/>
              </w:rPr>
            </w:pPr>
            <w:r w:rsidRPr="0044289B">
              <w:rPr>
                <w:sz w:val="18"/>
                <w:szCs w:val="22"/>
              </w:rPr>
              <w:t>Isto velja za 7. člen (2)</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 xml:space="preserve">Pri nizkotlačnih HE je izgubni </w:t>
            </w:r>
            <w:r w:rsidRPr="0044289B">
              <w:rPr>
                <w:sz w:val="18"/>
              </w:rPr>
              <w:t xml:space="preserve">padec </w:t>
            </w:r>
            <w:r>
              <w:rPr>
                <w:sz w:val="18"/>
              </w:rPr>
              <w:t xml:space="preserve">zaradi sodelovanja proizvodne enote v </w:t>
            </w:r>
            <w:r w:rsidRPr="005200BC">
              <w:rPr>
                <w:sz w:val="18"/>
              </w:rPr>
              <w:t>SR</w:t>
            </w:r>
            <w:r>
              <w:rPr>
                <w:sz w:val="18"/>
              </w:rPr>
              <w:t xml:space="preserve"> zanemarljiv</w:t>
            </w:r>
            <w:r w:rsidRPr="0044289B">
              <w:rPr>
                <w:sz w:val="18"/>
              </w:rPr>
              <w:t>.</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7. člen (2)</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V tabeli 2 manjka histogram obremenitev za črpalne hidroelektrarne.</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 xml:space="preserve">Podatki za </w:t>
            </w:r>
            <w:r w:rsidRPr="00D7583F">
              <w:rPr>
                <w:sz w:val="18"/>
              </w:rPr>
              <w:t xml:space="preserve">histogram obremenitev za črpalne hidroelektrarne </w:t>
            </w:r>
            <w:r w:rsidRPr="0044289B">
              <w:rPr>
                <w:sz w:val="18"/>
              </w:rPr>
              <w:t xml:space="preserve">bodo </w:t>
            </w:r>
            <w:r w:rsidRPr="0044289B">
              <w:rPr>
                <w:sz w:val="18"/>
              </w:rPr>
              <w:lastRenderedPageBreak/>
              <w:t xml:space="preserve">dodani, tako da bo Tabela 2 </w:t>
            </w:r>
            <w:r>
              <w:rPr>
                <w:sz w:val="18"/>
              </w:rPr>
              <w:t>P</w:t>
            </w:r>
            <w:r w:rsidRPr="0044289B">
              <w:rPr>
                <w:sz w:val="18"/>
              </w:rPr>
              <w:t>riloga 1 ustrezno dopolnjena.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11. člen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Metodologija ne pozna tehnologije za SPTE.</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TETOL je vrsto let zelo zanesljiv ponudnik terciarne rezerve, zato je ključno, da metodologija omogoča nudenje tudi TETOL-u</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Predlagana tehnologija je zajeta med rotirajoče rezerve (ROT) in je že vključena v predlog akta.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11. člen (3)</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Manjka negativna terciarna regulacija.</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Dejstvo je, da mora ELES skladno z EU pravili, v vsakem trenutku poleg pozitivne terciarne regulacije zagotavljati tudi negativno terciarno regulacijo – ne glede na to, da naš EZ-1 tega pojma ne pozna. Hkrati pa potreba po negativni terciarni regulaciji raste vsak dan z vse večjim številom priključenih OVE na omrežje.</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 xml:space="preserve">Agencija je v splošnem aktu zasledovala veljavno zakonodajo (1. odstavek EZ-1), kjer eksplicitno ni navedena negativna terciarna regulacija. </w:t>
            </w:r>
            <w:r>
              <w:rPr>
                <w:sz w:val="18"/>
              </w:rPr>
              <w:t xml:space="preserve">Če </w:t>
            </w:r>
            <w:r w:rsidRPr="0044289B">
              <w:rPr>
                <w:sz w:val="18"/>
              </w:rPr>
              <w:t xml:space="preserve">bo zakonodajna norma spremenjena, bo </w:t>
            </w:r>
            <w:r>
              <w:rPr>
                <w:sz w:val="18"/>
              </w:rPr>
              <w:t>a</w:t>
            </w:r>
            <w:r w:rsidRPr="0044289B">
              <w:rPr>
                <w:sz w:val="18"/>
              </w:rPr>
              <w:t>gencija splošni akt ustrezno dopolnila.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13.člen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Pri stroških obratovanja naj enota 330 uporablja enoto (MWh/l), da bo končna enota stroškov obratovanja enaka EUR/MWh.</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14. člen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Manjka ločeno vrednotenje energije za črpanje in proizvodnjo ter določitev cene za vsako uro črpanja in proizvodnje.</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Iz enačbe ni jasno razvidno kako se vrednoti energija pri črpanju. Je morda enaka 0 EUR/MWh?</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 xml:space="preserve">Črpalni elektrarni se prizna cena električne energije za ure nudenja TRR in zajema vrednost tako v generatorskem kot turbinskem režimu obratovanja. </w:t>
            </w:r>
            <w:r w:rsidRPr="0044289B">
              <w:rPr>
                <w:sz w:val="18"/>
              </w:rPr>
              <w:t xml:space="preserve">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16. člen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Skupni investicijski strošek naj se iz plinske turbine popravi na črpalno elektrarno.</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17.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Cena za zagotavljanje terciarne regulacije iz rotirajočih rezerv obratujočih elektrarn je občutno previsoka, saj večino časa obratuje na trgu preko katerega pokriva večino stroškov investicije.</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Predlog ne podaja kriterija vrednotenja, ki bi agenciji omogočalo spremembo predlagane cene.</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18.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Ponudniki s prilagajanjem odjema in proizvodnje prostovoljno sodelujejo na trgu SS in zanje to ni primarna dejavnost, zato menimo, da ne smejo biti zakonsko obvezani za sodelovanje pod takšnimi pogoji.</w:t>
            </w:r>
          </w:p>
          <w:p w:rsidR="00850471" w:rsidRPr="0044289B" w:rsidRDefault="00850471" w:rsidP="002F1983">
            <w:pPr>
              <w:rPr>
                <w:sz w:val="18"/>
                <w:szCs w:val="22"/>
              </w:rPr>
            </w:pPr>
          </w:p>
          <w:p w:rsidR="00850471" w:rsidRPr="0044289B" w:rsidRDefault="00850471" w:rsidP="002F1983">
            <w:pPr>
              <w:rPr>
                <w:sz w:val="18"/>
                <w:szCs w:val="22"/>
              </w:rPr>
            </w:pPr>
            <w:r w:rsidRPr="0044289B">
              <w:rPr>
                <w:sz w:val="18"/>
                <w:szCs w:val="22"/>
              </w:rPr>
              <w:t>V naslov naj se poleg proizvajalcev vključi tudi odjemalce.</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V kolikor želimo spodbuditi trg in privabiti nove udeležence, na ta trg, jih ne smemo omejeveti z nižjo ceno kot ostale klasične proizvajalce.</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 xml:space="preserve">Ponudniki </w:t>
            </w:r>
            <w:r w:rsidRPr="0044289B">
              <w:rPr>
                <w:sz w:val="18"/>
                <w:szCs w:val="22"/>
              </w:rPr>
              <w:t xml:space="preserve">s prilagajanjem odjema in proizvodnje </w:t>
            </w:r>
            <w:r>
              <w:rPr>
                <w:sz w:val="18"/>
                <w:szCs w:val="22"/>
              </w:rPr>
              <w:t xml:space="preserve">lahko sodelujejo pri nudenju SS kot odjemalci, saj se v skladu z EZ-1 mednje  uvrščajo dobavitelji ali končni odjemalci.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17. člen</w:t>
            </w:r>
          </w:p>
          <w:p w:rsidR="00850471" w:rsidRPr="0044289B" w:rsidRDefault="00850471" w:rsidP="002F1983">
            <w:pPr>
              <w:rPr>
                <w:sz w:val="18"/>
              </w:rPr>
            </w:pPr>
            <w:r w:rsidRPr="0044289B">
              <w:rPr>
                <w:sz w:val="18"/>
              </w:rPr>
              <w:t>18.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 xml:space="preserve">Pri obeh členih manjka določitev cene energije tako za rotirajočo rezervo </w:t>
            </w:r>
            <w:r w:rsidRPr="0044289B">
              <w:rPr>
                <w:sz w:val="18"/>
                <w:szCs w:val="22"/>
              </w:rPr>
              <w:lastRenderedPageBreak/>
              <w:t>obratujočih rezerv kot tudi za prilagajanje odjema in proizvodnje.</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22. člen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Ni povsem jasno, ali stroški za nakup in hranjenje veljajo tudi za dizel agregate na HE. Sklepamo da ne, vendar predlagamo da se v prvi odstavek napiše, da to velja le za plinske turbine.</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upoštevana. Podatek bo ustrezno umeščen v prilogi akta.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23. člen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 xml:space="preserve">Kje je podana </w:t>
            </w:r>
            <w:r w:rsidRPr="0044289B">
              <w:rPr>
                <w:i/>
                <w:sz w:val="18"/>
                <w:szCs w:val="22"/>
              </w:rPr>
              <w:t>P</w:t>
            </w:r>
            <w:r w:rsidRPr="0044289B">
              <w:rPr>
                <w:i/>
                <w:sz w:val="18"/>
                <w:szCs w:val="22"/>
                <w:vertAlign w:val="subscript"/>
              </w:rPr>
              <w:t xml:space="preserve">net_lok_PT  </w:t>
            </w:r>
            <w:r w:rsidRPr="0044289B">
              <w:rPr>
                <w:i/>
                <w:sz w:val="18"/>
                <w:szCs w:val="22"/>
              </w:rPr>
              <w:t>(</w:t>
            </w:r>
            <w:r w:rsidRPr="0044289B">
              <w:rPr>
                <w:sz w:val="18"/>
                <w:szCs w:val="22"/>
              </w:rPr>
              <w:t>povprečna neto električna moč za zagon agregata)?</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25. člen (4)</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Predlagamo, da se deleža investicijskih stroškov za zmogljivost regulacije napetosti ne upošteva, torej LSinv_RN = 0 eur. Trenutna deleža investicijskih stroškov (20% in 15%) sta absolutno previsoka.</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 xml:space="preserve">Pogoj za vsako elektrarno za priklop na električno omrežje je zmožnost prilagajanja oz. regulacije napetosti, ne glede na to ali ta enota sodeluje pri regulaciji napetosti ali ne. Z drugimi besedami, vsaka enota je že zaradi pravil priklopa sposobna sodelovati v regulaciji napetosti, brez dodatnih stroškov pri investiciji. </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ni upoštevana. Določilo o upoštevanju deleža investicijskih stroškov izhaja iz zahteve SON, saj sodelovanje pri zagotavljanju jalove energije investitorjem nedvomno povečuje zagonske stroške.</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25.člen (5)</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V tabeli 7 napaka pri oznaki za specifične izgube pri nazivni jalovi moči za hidroelektrarne (</w:t>
            </w:r>
            <w:r w:rsidRPr="0044289B">
              <w:rPr>
                <w:i/>
                <w:sz w:val="18"/>
                <w:szCs w:val="22"/>
              </w:rPr>
              <w:t>q</w:t>
            </w:r>
            <w:r w:rsidRPr="0044289B">
              <w:rPr>
                <w:i/>
                <w:sz w:val="18"/>
                <w:szCs w:val="22"/>
                <w:vertAlign w:val="subscript"/>
              </w:rPr>
              <w:t>izg_RN_HE</w:t>
            </w:r>
            <w:r w:rsidRPr="0044289B">
              <w:rPr>
                <w:sz w:val="18"/>
                <w:szCs w:val="22"/>
              </w:rPr>
              <w:t>).</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25. člen (5)</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Predlagamo, da se za izračun dodatnih izgub pri regulaciji napetosti upošteva dejansko proizvedeno jalovo energijo posamezne enote, ki sodeluje v regulaciji, za tekoče leto.</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Določene enote v regulaciji napetosti sodelujejo v neprimerno večjem obsegu kot druge, tako da imajo dejansko velike dodatne izgube, medtem ko določene enote teh izgub sploh nimajo. Dodatne izgube so po našem mnenju največji strošek enot, ki sodelujejo pri regulaciji napetosti. Krivično je, da vse enote dobijo povrnjene izgube, tudi če jih nimajo.</w:t>
            </w: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 xml:space="preserve">Pripomba ni upoštevana. </w:t>
            </w:r>
          </w:p>
          <w:p w:rsidR="00850471" w:rsidRPr="0044289B" w:rsidRDefault="00850471" w:rsidP="002F1983">
            <w:pPr>
              <w:rPr>
                <w:sz w:val="18"/>
              </w:rPr>
            </w:pPr>
            <w:r w:rsidRPr="0044289B">
              <w:rPr>
                <w:sz w:val="18"/>
              </w:rPr>
              <w:t xml:space="preserve">Metodologija </w:t>
            </w:r>
            <w:r>
              <w:rPr>
                <w:sz w:val="18"/>
              </w:rPr>
              <w:t xml:space="preserve">določitve stroška </w:t>
            </w:r>
            <w:r w:rsidRPr="0044289B">
              <w:rPr>
                <w:sz w:val="18"/>
              </w:rPr>
              <w:t xml:space="preserve">je </w:t>
            </w:r>
            <w:r>
              <w:rPr>
                <w:sz w:val="18"/>
              </w:rPr>
              <w:t xml:space="preserve">oblikovana </w:t>
            </w:r>
            <w:r w:rsidRPr="0044289B">
              <w:rPr>
                <w:sz w:val="18"/>
              </w:rPr>
              <w:t xml:space="preserve">na maksimalno </w:t>
            </w:r>
            <w:r>
              <w:rPr>
                <w:sz w:val="18"/>
              </w:rPr>
              <w:t xml:space="preserve">zmožnost nudenja </w:t>
            </w:r>
            <w:r w:rsidRPr="0044289B">
              <w:rPr>
                <w:sz w:val="18"/>
              </w:rPr>
              <w:t>jalov</w:t>
            </w:r>
            <w:r>
              <w:rPr>
                <w:sz w:val="18"/>
              </w:rPr>
              <w:t>e</w:t>
            </w:r>
            <w:r w:rsidRPr="0044289B">
              <w:rPr>
                <w:sz w:val="18"/>
              </w:rPr>
              <w:t xml:space="preserve"> moč</w:t>
            </w:r>
            <w:r>
              <w:rPr>
                <w:sz w:val="18"/>
              </w:rPr>
              <w:t>i</w:t>
            </w:r>
            <w:r w:rsidRPr="0044289B">
              <w:rPr>
                <w:sz w:val="18"/>
              </w:rPr>
              <w:t xml:space="preserve">, ne pa na </w:t>
            </w:r>
            <w:r>
              <w:rPr>
                <w:sz w:val="18"/>
              </w:rPr>
              <w:t xml:space="preserve">posamezne zahteve, ki jih urno opredeljuje sistemski operater.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25. člen (6)</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Napaka pri indeksu v enačbi (</w:t>
            </w:r>
            <w:r w:rsidRPr="0044289B">
              <w:rPr>
                <w:i/>
                <w:sz w:val="18"/>
                <w:szCs w:val="22"/>
              </w:rPr>
              <w:t>LS</w:t>
            </w:r>
            <w:r w:rsidRPr="0044289B">
              <w:rPr>
                <w:i/>
                <w:sz w:val="18"/>
                <w:szCs w:val="22"/>
                <w:vertAlign w:val="subscript"/>
              </w:rPr>
              <w:t>RN_vzd</w:t>
            </w:r>
            <w:r w:rsidRPr="0044289B">
              <w:rPr>
                <w:sz w:val="18"/>
                <w:szCs w:val="22"/>
              </w:rPr>
              <w:t>)</w:t>
            </w:r>
          </w:p>
          <w:p w:rsidR="00850471" w:rsidRPr="0044289B" w:rsidRDefault="00850471" w:rsidP="002F1983">
            <w:pPr>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bottom w:val="single" w:sz="4" w:space="0" w:color="auto"/>
              <w:right w:val="single" w:sz="4" w:space="0" w:color="auto"/>
            </w:tcBorders>
          </w:tcPr>
          <w:p w:rsidR="00850471" w:rsidRPr="0044289B" w:rsidRDefault="00850471" w:rsidP="002F1983">
            <w:pPr>
              <w:rPr>
                <w:sz w:val="18"/>
              </w:rPr>
            </w:pPr>
            <w:r>
              <w:rPr>
                <w:sz w:val="18"/>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26. člen (4)</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ELES,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Ni jasno kako bo Agencija v tem primeru določila ceno sistemskih storitev.</w:t>
            </w:r>
          </w:p>
          <w:p w:rsidR="00850471" w:rsidRPr="0044289B" w:rsidRDefault="00850471" w:rsidP="002F1983">
            <w:pPr>
              <w:pStyle w:val="Pripombabesedilo"/>
              <w:rPr>
                <w:sz w:val="18"/>
              </w:rPr>
            </w:pPr>
          </w:p>
          <w:p w:rsidR="00850471" w:rsidRPr="0044289B" w:rsidRDefault="00850471" w:rsidP="002F1983">
            <w:pPr>
              <w:pStyle w:val="Pripombabesedilo"/>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rPr>
            </w:pPr>
            <w:r w:rsidRPr="0044289B">
              <w:rPr>
                <w:sz w:val="18"/>
                <w:szCs w:val="22"/>
              </w:rPr>
              <w:t xml:space="preserve">Težava je v tem, da bo Agencija najverjetneje določala cene za leto v naprej, medtem ko bo cene s sosednjimi operaterji (predvsem APG) lahko primerjala šele po preteku tega obdobja. Za nazaj verjetno ne mogla spreminjati cen. Problem nastane v primeru </w:t>
            </w:r>
            <w:r w:rsidRPr="0044289B">
              <w:rPr>
                <w:sz w:val="18"/>
                <w:szCs w:val="22"/>
              </w:rPr>
              <w:lastRenderedPageBreak/>
              <w:t>velikega nihanja cen sistemskih storitev v tujini.</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lastRenderedPageBreak/>
              <w:t>Predlog akta podaja način določitve posameznih cen v tretjem odstavku 26. člena in predvideva ugotavljanje na način, da se ugotavlja povprečje doseženih cen v preteklem četrtletju.</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11. člen, 3. odstavek</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Izračun cene za izvajanje terciarne regulacije določa enako izhodiščno ceno EUR/MW/h za zakup, ne glede na časovno obdobje zakupa.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 xml:space="preserve">Predlagana enačba oziroma cena je razumna le v primeru zakupa storitev terciarne regulacije za neprekinjeno obdobje enega leta. V primeru zakupa za krajše časovne intervale, bi moral akt določati ustrezen faktor povečanja cene, v odvisnosti od dolžine trajanja zakupa. </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rPr>
              <w:t>V predlogu akta je oblikovan izračun na način, da se določi cena posamezne storitve za vnaprej določeno obdobje, v katerem SO ni uspel skleniti pogodb. Slednje pomeni, da so na letno obdobje relativno vključeni vsi stroški, ki so povezani z izvajanjem posamezne sistemske storitve.</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15.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V strošku vzdrževanja plinske turbine bi bilo potrebno upoštevati tudi število zagonov plinske turbine, ki so najbolj stresni za material.</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Zagon plinske turbine predstavlja velik stres za material ter vse sisteme plinske turbine. Menimo, da bi bilo potrebno, poleg obratovalnih ur, v formuli za izračun stroška vzdrževanja plinske turbine Svzd_PT upoštevati tudi število zagonov plinske turbine.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rPr>
            </w:pPr>
            <w:r>
              <w:rPr>
                <w:sz w:val="18"/>
              </w:rPr>
              <w:t xml:space="preserve">V stroških vzdrževanja so zajete tudi </w:t>
            </w:r>
            <w:r w:rsidRPr="0044289B">
              <w:rPr>
                <w:sz w:val="18"/>
              </w:rPr>
              <w:t>ekvivaletne obratovalne ure</w:t>
            </w:r>
            <w:r>
              <w:rPr>
                <w:sz w:val="18"/>
              </w:rPr>
              <w:t xml:space="preserve"> (</w:t>
            </w:r>
            <w:r w:rsidRPr="0044289B">
              <w:rPr>
                <w:sz w:val="18"/>
              </w:rPr>
              <w:t>EOH)</w:t>
            </w:r>
            <w:r>
              <w:rPr>
                <w:sz w:val="18"/>
              </w:rPr>
              <w:t>, ki odražajo število zagonov PT. Vsebina se upošteva v 15. členu predloga.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18.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 xml:space="preserve">Napačno zapisana označba Tabele iz Priloge 1. </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V členu se navaja Tabela 2 iz Priloge 1. Menimo, da je pravilna Tabela 5 iz Priloge 1.</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26. člen, 4. odst.</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Kaj pa v primeru, če so primerljive cene sistemskih storitev v regiji cene višje?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 xml:space="preserve">Pojavlja se vprašanje, saj je v (4) četrtem odstavku samo določilo, ki Agenciji dovoljuje določiti ceno samo navzdol in v tem primeru  je ugodneje za  sistemskega operaterja in na škodo proizvajalca v Sloveniji (oportunitetne stroške morajo nositi proizvajalci v Sloveniji). Kaj se zgodi, če bi bile primerljive cene višje? </w:t>
            </w:r>
          </w:p>
          <w:p w:rsidR="00850471" w:rsidRPr="0044289B" w:rsidRDefault="00850471" w:rsidP="002F1983">
            <w:pPr>
              <w:pStyle w:val="Pripombabesedilo"/>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Določilo člena temelji na zakonski obvezi iz četrtega odstavka 74. člena EZ-1. Agencija bo v fazi postopka morala upoštevati tudi cene iz regije.</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26.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Upoštevana je cena storitev iz čezmejne regije, kljub temu, da tam ni sistem vzpostavljen tako, kot pri nas.</w:t>
            </w:r>
          </w:p>
        </w:tc>
        <w:tc>
          <w:tcPr>
            <w:tcW w:w="0" w:type="auto"/>
            <w:tcBorders>
              <w:top w:val="single" w:sz="4" w:space="0" w:color="auto"/>
              <w:bottom w:val="single" w:sz="4" w:space="0" w:color="auto"/>
              <w:right w:val="single" w:sz="4" w:space="0" w:color="auto"/>
            </w:tcBorders>
            <w:shd w:val="clear" w:color="auto" w:fill="auto"/>
          </w:tcPr>
          <w:p w:rsidR="00850471" w:rsidRPr="0044289B" w:rsidRDefault="00850471" w:rsidP="002F1983">
            <w:pPr>
              <w:pStyle w:val="Pripombabesedilo"/>
              <w:rPr>
                <w:sz w:val="18"/>
                <w:szCs w:val="22"/>
              </w:rPr>
            </w:pPr>
            <w:r w:rsidRPr="0044289B">
              <w:rPr>
                <w:sz w:val="18"/>
                <w:szCs w:val="22"/>
              </w:rPr>
              <w:t>EES Slovenije se ne more in ne sme primerjati z območji sosednjih držav. Glede na specifiko EES, kjer prevladujejo dve veliki enoti (NEK in TEŠ) in več manjših (hidro), se pri vzpostavitvi cen sistemskih storitev ne bi smele upoštevati samo tržne cene v sosednjih regijah. Potrebno je vzeti tudi zanesljivost dobave teh storitev, ki pa se je v preteklosti izkazala za vprašljivo.</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Kriterij upoštevanja cen iz regije je določen v 1. in 2. predlogu 26. člena akta in bo ob vsaki aktivaciji akta presojan posamično.</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V Prilogi 1, Tabela 8</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 xml:space="preserve">Med parametri za ceno emisijskih kuponov, električne energije in parametri goriv  je določeno,  da je cena kurilnega olja (KOEL) povprečna vrednost dnevno objavljene cene KOEL pri vseh slovenskih dobaviteljih, ki cene objavljajo na spletu.  </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 xml:space="preserve"> Dejstvo je, da dobavitelji dnevno ne objavljajo cene KOEL, zato predlagamo, da se cena KOEL veže na dnevno objavo cene nafte brent (London (IPE)), ki so dnevno objavljena v časniku Delo oziroma na internetnih straneh </w:t>
            </w:r>
            <w:hyperlink r:id="rId6" w:history="1">
              <w:r w:rsidRPr="0044289B">
                <w:rPr>
                  <w:rStyle w:val="Hiperpovezava"/>
                  <w:sz w:val="18"/>
                  <w:szCs w:val="22"/>
                </w:rPr>
                <w:t>www.delo.si</w:t>
              </w:r>
            </w:hyperlink>
            <w:r w:rsidRPr="0044289B">
              <w:rPr>
                <w:sz w:val="18"/>
                <w:szCs w:val="22"/>
              </w:rPr>
              <w:t xml:space="preserve"> . Predlagamo uporabo faktorja za izračun cene za KOEL. (Po nam znanih podatkih in primerjavi / pregledu cen za leto 2017 znaša faktor za izračun cene KOEL - cca 1,5*cena nafte brent) </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rPr>
              <w:t>Pripomba upoštevana. Oblikovan je kriterij določitve KOEL, ki povzema in podrobno definira vaš predlog.</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V Prilogi 1, Tabela 6</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Med parametri za izračun cen zagona agregata brez zunanjega napajanja je določeno povprečno letno trajanje periodičnih preizkusov temnega zagona 4 ure, kar predstavlja za zanesljivo zagotavljanje storitve premalo.</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V TEB se ti preizkusi izvajajo enkrat mesečno. Takšen test se prične z izklopom zveznega polja in konča, ko je testirani plinski blok spet pripravljen, kar traja cca 1h na test. Menimo, da je za zanesljivo zagotavljanje sistemske storitve potrebno 12h/leto.</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rPr>
              <w:t>Pripomba ni upoštevana. Menimo, da je predlagana o</w:t>
            </w:r>
            <w:r w:rsidRPr="0044289B">
              <w:rPr>
                <w:sz w:val="18"/>
              </w:rPr>
              <w:t>cen</w:t>
            </w:r>
            <w:r>
              <w:rPr>
                <w:sz w:val="18"/>
              </w:rPr>
              <w:t xml:space="preserve">a o </w:t>
            </w:r>
            <w:r w:rsidRPr="0044289B">
              <w:rPr>
                <w:sz w:val="18"/>
              </w:rPr>
              <w:t>enkrat</w:t>
            </w:r>
            <w:r>
              <w:rPr>
                <w:sz w:val="18"/>
              </w:rPr>
              <w:t xml:space="preserve">nih </w:t>
            </w:r>
            <w:r w:rsidRPr="0044289B">
              <w:rPr>
                <w:sz w:val="18"/>
              </w:rPr>
              <w:t>periodičn</w:t>
            </w:r>
            <w:r>
              <w:rPr>
                <w:sz w:val="18"/>
              </w:rPr>
              <w:t>ih</w:t>
            </w:r>
            <w:r w:rsidRPr="0044289B">
              <w:rPr>
                <w:sz w:val="18"/>
              </w:rPr>
              <w:t xml:space="preserve"> testiranj</w:t>
            </w:r>
            <w:r>
              <w:rPr>
                <w:sz w:val="18"/>
              </w:rPr>
              <w:t>ih</w:t>
            </w:r>
            <w:r w:rsidRPr="0044289B">
              <w:rPr>
                <w:sz w:val="18"/>
              </w:rPr>
              <w:t xml:space="preserve"> na 3 mesece </w:t>
            </w:r>
            <w:r>
              <w:rPr>
                <w:sz w:val="18"/>
              </w:rPr>
              <w:t>ustrezna.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V Prilogi 1, Tabela 1, 5, 6, 7</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Med parametri za izračun stroškov sekundarne regulacije, Parametri za izračun cen terciarne regulacije, Parametri za izračun stroškov zagona agregata brez zunanjega napajanja in Parametri za izračun cen regulacije napetosti  je določena diskontna stopnja 0,031.</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Po uredbi o enotni metodologiji za pripravo in obravnavo investicijske dokumentacije na področju javnih financ je splošna diskontna stopnja 4 odstotke.</w:t>
            </w:r>
            <w:r w:rsidRPr="0044289B" w:rsidDel="00E566A0">
              <w:rPr>
                <w:sz w:val="18"/>
                <w:szCs w:val="22"/>
              </w:rPr>
              <w:t xml:space="preserve"> </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Agencija ostaja pri mnenju iz prve javne obravnave, kjer je opredelila, da d</w:t>
            </w:r>
            <w:r w:rsidRPr="00D32E10">
              <w:rPr>
                <w:sz w:val="18"/>
                <w:szCs w:val="22"/>
              </w:rPr>
              <w:t>iskontna stopnja odraža strošek denarja za izvedbo investicije. Ta strošek je povezan s splošnimi razmerami in (makro)ekonomskim stanjem države. Tako je DS različna za različne države in različne sektorje gospodarstva. Velikokrat se kot DS uporablja tehtano povprečje stroškov kapitala (WACC), pri čemer se upošteva</w:t>
            </w:r>
            <w:r>
              <w:rPr>
                <w:sz w:val="18"/>
                <w:szCs w:val="22"/>
              </w:rPr>
              <w:t>ta</w:t>
            </w:r>
            <w:r w:rsidRPr="00D32E10">
              <w:rPr>
                <w:sz w:val="18"/>
                <w:szCs w:val="22"/>
              </w:rPr>
              <w:t xml:space="preserve"> obrestna mera dolgoročnega kredita in donos na lastna vložena sredstva. Glede na to, da je 6-mesečni EURIBOR negativen in da se obresti za 10-letni kredit za najboljše najemnike gibljejo med 1,1 in 1,9</w:t>
            </w:r>
            <w:r>
              <w:rPr>
                <w:sz w:val="18"/>
                <w:szCs w:val="22"/>
              </w:rPr>
              <w:t> </w:t>
            </w:r>
            <w:r w:rsidRPr="00D32E10">
              <w:rPr>
                <w:sz w:val="18"/>
                <w:szCs w:val="22"/>
              </w:rPr>
              <w:t xml:space="preserve"> % letno, se ob upoštevanju različnih struktur financiranja investicij donosi na lastna sredstva gibljejo med 4,3 in 6,1 %. To je v danih pogojih in ciljnem namenu primeren donos in opravičuje DS v vrednosti 3,1 %.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Kaj se generalno pričakuje od sprejetega Akta in ali le-ta zadosti kriterijem po varnem in zanesljivem delovanju EES Slovenije?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Namen akt določa EZ-1. Splošni akt zasleduje izvedbo zakonodajne norme.</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bCs/>
                <w:sz w:val="18"/>
              </w:rPr>
              <w:t>TERMOELEKTRARNA BRESTANICA D. O. 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Priznane letne cene za kritje stroškov sistemskih storitev naj upoštevajo tudi ROE, ki je postavljen s strani SDH-ja oz. vlade RS.</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Kljub temu, da je po uredbi o enotni metodologiji za pripravo in obravnavo investicijske dokumentacije na področju javnih financ splošna diskontna stopnja 4 odstotke, se postavlja vprašanje, kako se bo le-ta korigirala ob spremenjeni politiki SDH-ja/Vlade RS glede na postavljen ROE.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Pripomba je obrazložena kot v zaporedni točki 32.</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splošno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Med pripravo pripomb smo ugotovili, da bi bilo treba zaradi ustreznejšega izvajanja Akta o določitvi metodologije za določanje cen sistemskih storitev novelirati 74. člen EZ-1.</w:t>
            </w:r>
          </w:p>
        </w:tc>
        <w:tc>
          <w:tcPr>
            <w:tcW w:w="0" w:type="auto"/>
            <w:tcBorders>
              <w:top w:val="single" w:sz="4" w:space="0" w:color="auto"/>
              <w:bottom w:val="single" w:sz="4" w:space="0" w:color="auto"/>
              <w:right w:val="single" w:sz="4" w:space="0" w:color="auto"/>
            </w:tcBorders>
          </w:tcPr>
          <w:p w:rsidR="00850471" w:rsidRPr="0044289B" w:rsidRDefault="00850471" w:rsidP="00850471">
            <w:pPr>
              <w:pStyle w:val="Odstavekseznama"/>
              <w:numPr>
                <w:ilvl w:val="0"/>
                <w:numId w:val="13"/>
              </w:numPr>
              <w:rPr>
                <w:sz w:val="18"/>
                <w:szCs w:val="22"/>
              </w:rPr>
            </w:pPr>
            <w:r w:rsidRPr="0044289B">
              <w:rPr>
                <w:sz w:val="18"/>
                <w:szCs w:val="22"/>
              </w:rPr>
              <w:t xml:space="preserve">Za celovito obravnavo sistemskih storitev je treba upoštevati in določiti ceno tudi za primarno regulacijo. </w:t>
            </w:r>
          </w:p>
          <w:p w:rsidR="00850471" w:rsidRPr="0044289B" w:rsidRDefault="00850471" w:rsidP="00850471">
            <w:pPr>
              <w:pStyle w:val="Odstavekseznama"/>
              <w:numPr>
                <w:ilvl w:val="0"/>
                <w:numId w:val="13"/>
              </w:numPr>
              <w:rPr>
                <w:sz w:val="18"/>
                <w:szCs w:val="22"/>
              </w:rPr>
            </w:pPr>
            <w:r w:rsidRPr="0044289B">
              <w:rPr>
                <w:sz w:val="18"/>
                <w:szCs w:val="22"/>
              </w:rPr>
              <w:t>Natančneje je treba opredeliti kriterije za ugotavljanje odsotnosti konkurenčnih pogojev, pri čemer preseganje cene, ki jo opredeljuje Akt ne sme biti kriterij.</w:t>
            </w:r>
          </w:p>
          <w:p w:rsidR="00850471" w:rsidRPr="0044289B" w:rsidRDefault="00850471" w:rsidP="00850471">
            <w:pPr>
              <w:pStyle w:val="Odstavekseznama"/>
              <w:numPr>
                <w:ilvl w:val="0"/>
                <w:numId w:val="13"/>
              </w:numPr>
              <w:rPr>
                <w:sz w:val="18"/>
                <w:szCs w:val="22"/>
              </w:rPr>
            </w:pPr>
            <w:r w:rsidRPr="0044289B">
              <w:rPr>
                <w:sz w:val="18"/>
                <w:szCs w:val="22"/>
              </w:rPr>
              <w:t>Opredeliti je treba minimalni čas trajanja z odločbo zahtevane sklenitve pogodbe (minimalno eno leto).</w:t>
            </w:r>
          </w:p>
          <w:p w:rsidR="00850471" w:rsidRPr="0044289B" w:rsidRDefault="00850471" w:rsidP="00850471">
            <w:pPr>
              <w:pStyle w:val="Odstavekseznama"/>
              <w:numPr>
                <w:ilvl w:val="0"/>
                <w:numId w:val="13"/>
              </w:numPr>
              <w:rPr>
                <w:sz w:val="18"/>
                <w:szCs w:val="22"/>
              </w:rPr>
            </w:pPr>
            <w:r w:rsidRPr="0044289B">
              <w:rPr>
                <w:sz w:val="18"/>
                <w:szCs w:val="22"/>
              </w:rPr>
              <w:t>Natančneje je treba opredeliti finančno in vsebinsko prevzemanje tveganj ob izvajanju odločbe.</w:t>
            </w:r>
          </w:p>
          <w:p w:rsidR="00850471" w:rsidRPr="0044289B" w:rsidRDefault="00850471" w:rsidP="00850471">
            <w:pPr>
              <w:pStyle w:val="Odstavekseznama"/>
              <w:numPr>
                <w:ilvl w:val="0"/>
                <w:numId w:val="13"/>
              </w:numPr>
              <w:rPr>
                <w:sz w:val="18"/>
                <w:szCs w:val="22"/>
              </w:rPr>
            </w:pPr>
            <w:r w:rsidRPr="0044289B">
              <w:rPr>
                <w:sz w:val="18"/>
                <w:szCs w:val="22"/>
              </w:rPr>
              <w:t>Natančneje je treba opredeliti primere, kdaj nastopi zavezancu škoda. Menimo, da samo izvajanje Akta v veliki večini primerov nikakor ne sme povzročati zavezancu škode, saj to ni v duhu reguliranih dejavnosti.</w:t>
            </w:r>
          </w:p>
        </w:tc>
        <w:tc>
          <w:tcPr>
            <w:tcW w:w="0" w:type="auto"/>
            <w:tcBorders>
              <w:top w:val="single" w:sz="4" w:space="0" w:color="auto"/>
              <w:bottom w:val="single" w:sz="4" w:space="0" w:color="auto"/>
              <w:right w:val="single" w:sz="4" w:space="0" w:color="auto"/>
            </w:tcBorders>
          </w:tcPr>
          <w:p w:rsidR="00850471" w:rsidRDefault="00850471" w:rsidP="002F1983">
            <w:pPr>
              <w:rPr>
                <w:sz w:val="18"/>
                <w:szCs w:val="22"/>
              </w:rPr>
            </w:pPr>
            <w:r>
              <w:rPr>
                <w:sz w:val="18"/>
                <w:szCs w:val="22"/>
              </w:rPr>
              <w:t xml:space="preserve">Za urejanje primarne regulacije pod pogoji iz 74. člena EZ-1 je nujno, da se element primarne regulacije umesti med sedaj navedene storitve v prvem odstavku 74. člena EZ-1. </w:t>
            </w:r>
          </w:p>
          <w:p w:rsidR="00850471" w:rsidRDefault="00850471" w:rsidP="002F1983">
            <w:pPr>
              <w:rPr>
                <w:sz w:val="18"/>
                <w:szCs w:val="22"/>
              </w:rPr>
            </w:pPr>
          </w:p>
          <w:p w:rsidR="00850471" w:rsidRDefault="00850471" w:rsidP="002F1983">
            <w:pPr>
              <w:rPr>
                <w:sz w:val="18"/>
                <w:szCs w:val="22"/>
              </w:rPr>
            </w:pPr>
            <w:r>
              <w:rPr>
                <w:sz w:val="18"/>
                <w:szCs w:val="22"/>
              </w:rPr>
              <w:t xml:space="preserve">Splošni akt, ki je predmet obravnave po EZ-1, ne more in ne opredeljuje ocene stanja konkurenčnosti na trgu, temveč le opredeljuje ceno za posamezno sistemsko storitev, kot to določa EZ-1. Tako ni zakonodajne podlage, ki bi agenciji nalagala, da opredeli druge elemente postopka izvajanja sistemskih storitev pod pogoji 74. člena EZ-1. </w:t>
            </w:r>
          </w:p>
          <w:p w:rsidR="00850471" w:rsidRDefault="00850471" w:rsidP="002F1983">
            <w:pPr>
              <w:rPr>
                <w:sz w:val="18"/>
                <w:szCs w:val="22"/>
              </w:rPr>
            </w:pPr>
          </w:p>
          <w:p w:rsidR="00850471" w:rsidRPr="00823FE5" w:rsidRDefault="00850471" w:rsidP="002F1983">
            <w:pPr>
              <w:rPr>
                <w:sz w:val="18"/>
                <w:szCs w:val="22"/>
              </w:rPr>
            </w:pP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0471" w:rsidRPr="0044289B" w:rsidRDefault="00850471" w:rsidP="002F1983">
            <w:pPr>
              <w:rPr>
                <w:sz w:val="18"/>
              </w:rPr>
            </w:pPr>
            <w:r w:rsidRPr="0044289B">
              <w:rPr>
                <w:sz w:val="18"/>
              </w:rPr>
              <w:t>splošno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50471" w:rsidRPr="0044289B" w:rsidRDefault="00850471" w:rsidP="002F1983">
            <w:pPr>
              <w:rPr>
                <w:sz w:val="18"/>
                <w:szCs w:val="22"/>
              </w:rPr>
            </w:pPr>
            <w:r w:rsidRPr="0044289B">
              <w:rPr>
                <w:sz w:val="18"/>
                <w:szCs w:val="22"/>
              </w:rPr>
              <w:t xml:space="preserve">Predlagamo, da se v akt vključi tudi poglavje, ki bo obravnavalo določanje cene primarne regulacije. </w:t>
            </w:r>
          </w:p>
        </w:tc>
        <w:tc>
          <w:tcPr>
            <w:tcW w:w="0" w:type="auto"/>
            <w:tcBorders>
              <w:top w:val="single" w:sz="4" w:space="0" w:color="auto"/>
              <w:bottom w:val="single" w:sz="4" w:space="0" w:color="auto"/>
              <w:right w:val="single" w:sz="4" w:space="0" w:color="auto"/>
            </w:tcBorders>
            <w:shd w:val="clear" w:color="auto" w:fill="auto"/>
          </w:tcPr>
          <w:p w:rsidR="00850471" w:rsidRPr="0044289B" w:rsidRDefault="00850471" w:rsidP="002F1983">
            <w:pPr>
              <w:pStyle w:val="Pripombabesedilo"/>
              <w:rPr>
                <w:sz w:val="18"/>
                <w:szCs w:val="22"/>
              </w:rPr>
            </w:pPr>
            <w:r w:rsidRPr="0044289B">
              <w:rPr>
                <w:sz w:val="18"/>
                <w:szCs w:val="22"/>
              </w:rPr>
              <w:t xml:space="preserve">Na podlagi dokumenta evropskega združenja sistemskih operaterjev za električno energijo ENTSO-E Overview of Transmission Tariffs in Europe: Synthesis 2017, objavljenega junija 2017, in na podlagi večkrat izražene smiselnosti celovite ureditve </w:t>
            </w:r>
            <w:r w:rsidRPr="0044289B">
              <w:rPr>
                <w:sz w:val="18"/>
                <w:szCs w:val="22"/>
              </w:rPr>
              <w:lastRenderedPageBreak/>
              <w:t>področja zagotavljanja sistemskih storitev, apeliramo na Agencijo za energijo, ki pripravlja metodologijo določanja cen sistemskih storitev, da pristopi tudi k ureditvi zaračunavanja sistemske storitve primarne regulacije. Iz navedenega akta združenja ENTSO-E je iz Tabele 5.1. Costs included in the calculation of the Unit Transmission Tariffs  na strani 10 jasno razvidno, da več kot 70 % držav, med katerimi še vedno ni Slovenije, upošteva in priznava stroške primarne regulacije.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lastRenderedPageBreak/>
              <w:t>Pripomba ni upoštevana. Obrazložitev je podana v točki 35.</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splošno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Predlagamo, da se v Aktu opredelijo minimalni in maksimalni čas trajanja zagotavljanja sistemskih storitev, zahtevanih na podlagi odločbe Agencije za energijo, pri čemer naj bo minimalni čas trajanja eno leto.</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Akt ne predvideva opredelitve časa trajanja zagotavljanja posameznih sistemskih storitev.</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Obrazložitev je podana v točki 35.</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 xml:space="preserve">1. člen 2 odstavek </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Sprašujemo se, kako bo Agencija za energijo spoštovala določilo o neposeganju v obstoječe pogodbe na način, da bo z odločbo naložila nekemu proizvajalcu (npr. TEŠ), da mora skleniti pogodbo o dobavi neke sistemske storitve.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HSE d.o.o. ima sklenjene dolgoročne pogodbe o odkupu električne energije, sistemskih storitev,…, od proizvodnih družb znotraj skupine HSE. Na podlagi tega HSE d.o.o. sklepa pogodbe o zagotavljanju sistemskih storitev. Na način predviden v drugem odstavku 2. člena se bo avtomatsko poseglo v obstoječe pogodbe.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Vsebina se ne nanaša na določbe iz predloga akta. Pojasnilo na vprašanje se veže na izvajanje določb EZ-1.</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Za jasnejšo uporabo Akta predlagamo, da Agencija za energijo natančneje opredeli konkurenčne pogoje navedene v 74. členu EZ-1 ali vsaj opredeli metodologijo, s pomočjo katere bo ugotavljala njihovo odsotnost (struktura upoštevnega trga, število ponudnikov na trgu, togost ponujenih cen, vstopne ovire na trg).</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Za ugotavljanje položaja na trgu morajo akterji imeti možnost ugotavljanja svojega položaja, ki ga v tem primeru narekuje ugotavljanje odsotnosti konkurenčnih pogojev.</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 xml:space="preserve">Vsebina se ne nanaša na določbe iz predloga akta. Pojasnilo o opredelitvi pogojev za konkurenčnost na trgu sistemskih storitev ni predmet javne obravnave.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3.člen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V poglavju Določitev letne cene za kritje stroškov zagotavljanja sekundarne regulacije je treba, tako kot je to opredeljeno za ostale tipe predvidenih elektrarn, opredeliti izračun tudi za nizkotlačne hidroelektrarne.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 xml:space="preserve">V 3. členu je v prvem odstavku kot četrta alineja predvidena obravnava oziroma izračun stroškov za nizkotlačne hidroelektrarne. V nadaljevanju poglavja pa manjkajo potrebni pripadajoči izračuni, ki bi jih bilo </w:t>
            </w:r>
            <w:r w:rsidRPr="0044289B">
              <w:rPr>
                <w:sz w:val="18"/>
                <w:szCs w:val="22"/>
              </w:rPr>
              <w:lastRenderedPageBreak/>
              <w:t>treba dodati. Manjkajoči izračuni so nam onemogočili celovito vrednotenje ustreznosti ureditve kritja stroškov zagotavljanja sekundarne regulacije.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rPr>
              <w:lastRenderedPageBreak/>
              <w:t xml:space="preserve">Pri nizkotlačnih HE je izgubni </w:t>
            </w:r>
            <w:r w:rsidRPr="0044289B">
              <w:rPr>
                <w:sz w:val="18"/>
              </w:rPr>
              <w:t xml:space="preserve">padec </w:t>
            </w:r>
            <w:r>
              <w:rPr>
                <w:sz w:val="18"/>
              </w:rPr>
              <w:t>zaradi sodelovanja proizvodne enote v SR zanemarljiv</w:t>
            </w:r>
            <w:r w:rsidRPr="0044289B">
              <w:rPr>
                <w:sz w:val="18"/>
              </w:rPr>
              <w:t>.</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12. člen 5. odstavek</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Izraz za LČE treba poenotiti s tabelo 1 in 5 v Prilogi.</w:t>
            </w:r>
          </w:p>
          <w:p w:rsidR="00850471" w:rsidRPr="0044289B" w:rsidRDefault="00850471" w:rsidP="002F1983">
            <w:pPr>
              <w:rPr>
                <w:sz w:val="18"/>
                <w:szCs w:val="22"/>
              </w:rPr>
            </w:pPr>
            <w:r w:rsidRPr="0044289B">
              <w:rPr>
                <w:sz w:val="18"/>
                <w:szCs w:val="22"/>
              </w:rPr>
              <w:t>Enkrat je uporabljen izraz ekonomska življenjska doba, drugič pa izraz ekonomska amortizacijska doba.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Treba je smiselno poenotiti izraze, saj različni uporabljeni izrazi za eno vsebino vnašajo v razumevanje akta zmedo in zmanjšujejo njegovo uporabno vrednost.</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13. člen</w:t>
            </w:r>
          </w:p>
          <w:p w:rsidR="00850471" w:rsidRPr="0044289B" w:rsidRDefault="00850471" w:rsidP="002F1983">
            <w:pPr>
              <w:rPr>
                <w:sz w:val="18"/>
              </w:rPr>
            </w:pPr>
          </w:p>
          <w:p w:rsidR="00850471" w:rsidRPr="0044289B" w:rsidRDefault="00850471" w:rsidP="002F1983">
            <w:pPr>
              <w:rPr>
                <w:sz w:val="18"/>
              </w:rPr>
            </w:pPr>
            <w:r w:rsidRPr="0044289B">
              <w:rPr>
                <w:sz w:val="18"/>
              </w:rPr>
              <w:t xml:space="preserve">in </w:t>
            </w:r>
          </w:p>
          <w:p w:rsidR="00850471" w:rsidRPr="0044289B" w:rsidRDefault="00850471" w:rsidP="002F1983">
            <w:pPr>
              <w:rPr>
                <w:sz w:val="18"/>
              </w:rPr>
            </w:pPr>
          </w:p>
          <w:p w:rsidR="00850471" w:rsidRPr="0044289B" w:rsidRDefault="00850471" w:rsidP="002F1983">
            <w:pPr>
              <w:rPr>
                <w:sz w:val="18"/>
              </w:rPr>
            </w:pPr>
            <w:r w:rsidRPr="0044289B">
              <w:rPr>
                <w:sz w:val="18"/>
              </w:rPr>
              <w:t xml:space="preserve">Priloga Tabela 8 </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Predlagamo, da se način določanja relevantne cene kurilnega olja natančneje opredeli. Natančneje je treba opredeliti mesto objave relevantne cene in predpisati način zagotavljanja arhiviranja za izračun relevantnih podatkov.</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V praksi se zaradi opisane nenatančnosti opredelitve mesta objave in hranjenja dogaja, da ni možno z zagotovostjo vedeti kateri podatek je pravilen in kje se hrani. Glede na predviden koncept določitve cene nikoli ne bo možno vedeti ali so se zajeli res vsi podatki, saj nikjer ni opisano, kdo vse so dobavitelji, kateri izmed njih cene objavljajo na spletu in kakšen je njihov način arhiviranja podatkov, če ga sploh imajo uvedenega.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rPr>
              <w:t>Pripomba upoštevana. Oblikovan je kriterij določitve KOEL, ki natančneje določa posamezne parametre cene.</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25. člen 1. odstavek</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Doda naj se tretja alineja:</w:t>
            </w:r>
          </w:p>
          <w:p w:rsidR="00850471" w:rsidRPr="0044289B" w:rsidRDefault="00850471" w:rsidP="002F1983">
            <w:pPr>
              <w:rPr>
                <w:sz w:val="18"/>
                <w:szCs w:val="22"/>
              </w:rPr>
            </w:pPr>
            <w:r w:rsidRPr="0044289B">
              <w:rPr>
                <w:sz w:val="18"/>
                <w:szCs w:val="22"/>
              </w:rPr>
              <w:t>črpalnih hidroelektrarnah.</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ČHE tudi sodeluje pri regulaciji napetost in jo je iz stališča obravnave pri tem nastalih stroškov prav tako treba vključiti v opredelitev cene za kritje stroškov regulacije napetosti.</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25.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Še vedno so prisotne različne oznake istih kategorij.</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Ponovno predlagamo, da se akt podrobno pregleda, da ne bo zaradi različnih označb prihajalo do nerazumevanj in napak pri vrednotenjih posameznih delov akta.</w:t>
            </w:r>
          </w:p>
          <w:p w:rsidR="00850471" w:rsidRPr="0044289B" w:rsidRDefault="00850471" w:rsidP="002F1983">
            <w:pPr>
              <w:pStyle w:val="Pripombabesedilo"/>
              <w:rPr>
                <w:sz w:val="18"/>
                <w:szCs w:val="22"/>
              </w:rPr>
            </w:pPr>
            <w:r w:rsidRPr="0044289B">
              <w:rPr>
                <w:sz w:val="18"/>
                <w:szCs w:val="22"/>
              </w:rPr>
              <w:t xml:space="preserve">V tem členu je enkrat uporabljena oznaka LSvzd_RN,  drugič pa </w:t>
            </w:r>
          </w:p>
          <w:p w:rsidR="00850471" w:rsidRPr="0044289B" w:rsidRDefault="00850471" w:rsidP="002F1983">
            <w:pPr>
              <w:pStyle w:val="Pripombabesedilo"/>
              <w:rPr>
                <w:sz w:val="18"/>
                <w:szCs w:val="22"/>
              </w:rPr>
            </w:pPr>
            <w:r w:rsidRPr="0044289B">
              <w:rPr>
                <w:rFonts w:ascii="Cambria Math" w:hAnsi="Cambria Math" w:cs="Cambria Math"/>
                <w:sz w:val="18"/>
                <w:szCs w:val="22"/>
              </w:rPr>
              <w:t>𝐿𝑆</w:t>
            </w:r>
            <w:r w:rsidRPr="0044289B">
              <w:rPr>
                <w:sz w:val="18"/>
                <w:szCs w:val="22"/>
              </w:rPr>
              <w:t>RN_vzd.</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Pripomba upoštevana.</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25.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Predlagamo, da se jasneje opredeli predvideno oziroma upoštevano število agregatov, ki bodo vključeni v proces regulacije napetosti oziroma izračun cene za zagotavljanje jalove moči. Samo razdelitev na termo in hidro ni zadosten podatek.</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 xml:space="preserve">Z nepoznavanjem tega podatka ni možno izračunati prihodka in ga primerjati s stroški, nastalimi pri zahtevani proizvodnji jalove moči. To pa onemogoči vrednotenje ustreznosti predvidenega koncepta opredeljevanja ustrezne višine stroškov. </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 xml:space="preserve">Določitev agregatov pri sodelovanju v regulaciji napetosti bo opredelil sistemski operater na podlagi zahtev iz 3. člena predloga akta.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26. člen 4 odstavek</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Predlagamo črtanje odstavka.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Zagotavljanje primerljivosti cen sistemskih storitev v regiji je zaradi tehnološke neprimerljivosti portfeljev virov neizvedljiva.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 xml:space="preserve">Predlog določila v 26. členu je posledica zahteve iz 4. odstavka 74. člena EZ-1.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PRILOGA</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jc w:val="left"/>
              <w:rPr>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szCs w:val="22"/>
              </w:rPr>
            </w:pPr>
            <w:r w:rsidRPr="0044289B">
              <w:rPr>
                <w:sz w:val="18"/>
                <w:szCs w:val="22"/>
              </w:rPr>
              <w:t>Predlagamo, da se vrednosti po posvetovanju z vsemi relevantnimi subjekti na slovenskem energetskem trgu ustrezno spremenijo oziroma dopolnijo.</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Vrednosti za podatke, navedene v prilogi, močno odstopajo od dejansko uporabljanih v Sloveniji. Kot primer navajamo diskontno stopnjo, ki se je v HSE uporabljala v času priprave investicijske dokumentacije v skladu z UREDBO o enotni metodologiji za pripravo in obravnavo investicijske dokumentacije na področju javnih financ v višini 4% in ne v višini 3,1% odstotka kot predvideva priloga. Enako velja za vrednosti amortizacijske dobe različnih tipov proizvodnih objektov. Pri tem manjka amortizacijska doba za črpalno hidroelektrarno.</w:t>
            </w:r>
          </w:p>
          <w:p w:rsidR="00850471" w:rsidRPr="0044289B" w:rsidRDefault="00850471" w:rsidP="002F1983">
            <w:pPr>
              <w:pStyle w:val="Pripombabesedilo"/>
              <w:rPr>
                <w:sz w:val="18"/>
                <w:szCs w:val="22"/>
              </w:rPr>
            </w:pPr>
          </w:p>
          <w:p w:rsidR="00850471" w:rsidRPr="0044289B" w:rsidRDefault="00850471" w:rsidP="002F1983">
            <w:pPr>
              <w:pStyle w:val="Pripombabesedilo"/>
              <w:rPr>
                <w:sz w:val="18"/>
                <w:szCs w:val="22"/>
              </w:rPr>
            </w:pPr>
            <w:r w:rsidRPr="0044289B">
              <w:rPr>
                <w:sz w:val="18"/>
                <w:szCs w:val="22"/>
              </w:rPr>
              <w:t>Menimo, da bi bilo pravilneje namesto diskontne stopnje na področju javnih financ uporabljati tehtano povprečje stroškov kapitala WACC (predlagano tudi v študiji …), ki za nove investicije v proizvodne objekte v energetiki upošteva vrednost več kot 7%.</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Agencija ostaja pri mnenju iz prve javne obravnave, kjer je opredelila, da d</w:t>
            </w:r>
            <w:r w:rsidRPr="00D32E10">
              <w:rPr>
                <w:sz w:val="18"/>
                <w:szCs w:val="22"/>
              </w:rPr>
              <w:t>iskontna stopnja odraža strošek denarja za izvedbo investicije. Ta strošek je povezan s splošnimi razmerami in (makro)ekonomskim stanjem države. Tako je DS različna za različne države in različne sektorje gospodarstva. Velikokrat se kot DS uporablja tehtano povprečje stroškov kapitala (WACC), pri čemer se upošteva</w:t>
            </w:r>
            <w:r>
              <w:rPr>
                <w:sz w:val="18"/>
                <w:szCs w:val="22"/>
              </w:rPr>
              <w:t>ta</w:t>
            </w:r>
            <w:r w:rsidRPr="00D32E10">
              <w:rPr>
                <w:sz w:val="18"/>
                <w:szCs w:val="22"/>
              </w:rPr>
              <w:t xml:space="preserve"> obrestna mera dolgoročnega kredita in donos na lastna vložena sredstva. Glede na to, da je 6-mesečni EURIBOR negativen in da se obresti za 10-letni kredit za najboljše najemnike gibljejo med 1,1 in 1,9</w:t>
            </w:r>
            <w:r>
              <w:rPr>
                <w:sz w:val="18"/>
                <w:szCs w:val="22"/>
              </w:rPr>
              <w:t> </w:t>
            </w:r>
            <w:r w:rsidRPr="00D32E10">
              <w:rPr>
                <w:sz w:val="18"/>
                <w:szCs w:val="22"/>
              </w:rPr>
              <w:t xml:space="preserve"> % letno, se ob upoštevanju različnih struktur financiranja investicij donosi na lastna sredstva gibljejo med 4,3 in 6,1 %. To je v danih pogojih in ciljnem namenu primeren donos in opravičuje DS v vrednosti 3,1 %.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 xml:space="preserve">Priloga Tabela 1 in 5 </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rPr>
                <w:rFonts w:ascii="Verdana" w:hAnsi="Verdana" w:cs="Times New Roman"/>
                <w:sz w:val="18"/>
                <w:szCs w:val="22"/>
              </w:rPr>
            </w:pPr>
            <w:r w:rsidRPr="0044289B">
              <w:rPr>
                <w:sz w:val="18"/>
              </w:rPr>
              <w:t>Holding Slovenske elektrarne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Default"/>
              <w:numPr>
                <w:ilvl w:val="0"/>
                <w:numId w:val="14"/>
              </w:numPr>
              <w:jc w:val="both"/>
              <w:rPr>
                <w:rFonts w:ascii="Verdana" w:hAnsi="Verdana" w:cs="Times New Roman"/>
                <w:sz w:val="18"/>
                <w:szCs w:val="22"/>
              </w:rPr>
            </w:pPr>
            <w:r w:rsidRPr="0044289B">
              <w:rPr>
                <w:rFonts w:ascii="Verdana" w:hAnsi="Verdana" w:cs="Times New Roman"/>
                <w:sz w:val="18"/>
                <w:szCs w:val="22"/>
              </w:rPr>
              <w:t>Ekonomska življenjska doba srednjetlačne hidroelektrarne naj se popravi na 50 let.</w:t>
            </w:r>
          </w:p>
          <w:p w:rsidR="00850471" w:rsidRPr="0044289B" w:rsidRDefault="00850471" w:rsidP="00850471">
            <w:pPr>
              <w:pStyle w:val="Odstavekseznama"/>
              <w:numPr>
                <w:ilvl w:val="0"/>
                <w:numId w:val="14"/>
              </w:numPr>
              <w:rPr>
                <w:sz w:val="18"/>
                <w:szCs w:val="22"/>
              </w:rPr>
            </w:pPr>
            <w:r w:rsidRPr="0044289B">
              <w:rPr>
                <w:sz w:val="18"/>
                <w:szCs w:val="22"/>
              </w:rPr>
              <w:t>Ekonomska življenjska doba črpalne hidroelektrarne naj se popravi na 30 let.</w:t>
            </w:r>
          </w:p>
          <w:p w:rsidR="00850471" w:rsidRPr="0044289B" w:rsidRDefault="00850471" w:rsidP="00850471">
            <w:pPr>
              <w:pStyle w:val="Odstavekseznama"/>
              <w:numPr>
                <w:ilvl w:val="0"/>
                <w:numId w:val="14"/>
              </w:numPr>
              <w:rPr>
                <w:sz w:val="18"/>
                <w:szCs w:val="22"/>
              </w:rPr>
            </w:pPr>
            <w:r w:rsidRPr="0044289B">
              <w:rPr>
                <w:sz w:val="18"/>
                <w:szCs w:val="22"/>
              </w:rPr>
              <w:t>Diskontna stopnja naj se uskladi z dejansko uporabljeno v elektrogospodarstvu.</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Predlagane ekonomske življenjske dobe so predolge.</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Menimo, da so</w:t>
            </w:r>
            <w:r>
              <w:rPr>
                <w:sz w:val="18"/>
                <w:szCs w:val="22"/>
              </w:rPr>
              <w:t xml:space="preserve"> </w:t>
            </w:r>
            <w:r w:rsidRPr="005373E8">
              <w:rPr>
                <w:sz w:val="18"/>
                <w:szCs w:val="22"/>
              </w:rPr>
              <w:t>življenjsk</w:t>
            </w:r>
            <w:r>
              <w:rPr>
                <w:sz w:val="18"/>
                <w:szCs w:val="22"/>
              </w:rPr>
              <w:t>e</w:t>
            </w:r>
            <w:r w:rsidRPr="0044289B">
              <w:rPr>
                <w:sz w:val="18"/>
                <w:szCs w:val="22"/>
              </w:rPr>
              <w:t xml:space="preserve"> dobe </w:t>
            </w:r>
            <w:r>
              <w:rPr>
                <w:sz w:val="18"/>
                <w:szCs w:val="22"/>
              </w:rPr>
              <w:t xml:space="preserve">za posamezne proizvodne objekte </w:t>
            </w:r>
            <w:r w:rsidRPr="0044289B">
              <w:rPr>
                <w:sz w:val="18"/>
                <w:szCs w:val="22"/>
              </w:rPr>
              <w:t xml:space="preserve">korektne in skladne </w:t>
            </w:r>
            <w:r>
              <w:rPr>
                <w:sz w:val="18"/>
                <w:szCs w:val="22"/>
              </w:rPr>
              <w:t>ter</w:t>
            </w:r>
            <w:r w:rsidRPr="0044289B">
              <w:rPr>
                <w:sz w:val="18"/>
                <w:szCs w:val="22"/>
              </w:rPr>
              <w:t xml:space="preserve"> odražajo razmere</w:t>
            </w:r>
            <w:r>
              <w:rPr>
                <w:sz w:val="18"/>
                <w:szCs w:val="22"/>
              </w:rPr>
              <w:t xml:space="preserve"> glede na referenčne objekte</w:t>
            </w:r>
            <w:r w:rsidRPr="0044289B">
              <w:rPr>
                <w:sz w:val="18"/>
                <w:szCs w:val="22"/>
              </w:rPr>
              <w:t>.</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11. člen – 18.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rPr>
                <w:sz w:val="18"/>
              </w:rPr>
            </w:pPr>
            <w:r w:rsidRPr="0044289B">
              <w:rPr>
                <w:sz w:val="18"/>
              </w:rPr>
              <w:t>GEN energija d.o.o.</w:t>
            </w:r>
          </w:p>
        </w:tc>
        <w:tc>
          <w:tcPr>
            <w:tcW w:w="0" w:type="auto"/>
            <w:tcBorders>
              <w:top w:val="single" w:sz="4" w:space="0" w:color="auto"/>
              <w:left w:val="single" w:sz="4" w:space="0" w:color="auto"/>
              <w:bottom w:val="single" w:sz="4" w:space="0" w:color="auto"/>
              <w:right w:val="single" w:sz="4" w:space="0" w:color="auto"/>
            </w:tcBorders>
          </w:tcPr>
          <w:p w:rsidR="00850471" w:rsidRPr="00F1411D" w:rsidRDefault="00850471" w:rsidP="002F1983">
            <w:pPr>
              <w:pStyle w:val="Default"/>
              <w:jc w:val="both"/>
              <w:rPr>
                <w:rFonts w:ascii="Verdana" w:hAnsi="Verdana" w:cs="Times New Roman"/>
                <w:sz w:val="18"/>
                <w:szCs w:val="22"/>
              </w:rPr>
            </w:pPr>
            <w:r w:rsidRPr="00F1411D">
              <w:rPr>
                <w:rFonts w:ascii="Verdana" w:hAnsi="Verdana" w:cs="Times New Roman"/>
                <w:sz w:val="18"/>
                <w:szCs w:val="22"/>
              </w:rPr>
              <w:t>Razlika v izračunu med turbinama</w:t>
            </w:r>
          </w:p>
        </w:tc>
        <w:tc>
          <w:tcPr>
            <w:tcW w:w="0" w:type="auto"/>
            <w:tcBorders>
              <w:top w:val="single" w:sz="4" w:space="0" w:color="auto"/>
              <w:bottom w:val="single" w:sz="4" w:space="0" w:color="auto"/>
              <w:right w:val="single" w:sz="4" w:space="0" w:color="auto"/>
            </w:tcBorders>
          </w:tcPr>
          <w:p w:rsidR="00850471" w:rsidRPr="00F1411D" w:rsidRDefault="00850471" w:rsidP="002F1983">
            <w:pPr>
              <w:pStyle w:val="Pripombabesedilo"/>
              <w:rPr>
                <w:sz w:val="18"/>
                <w:szCs w:val="22"/>
              </w:rPr>
            </w:pPr>
            <w:r w:rsidRPr="00F1411D">
              <w:rPr>
                <w:sz w:val="18"/>
                <w:szCs w:val="22"/>
              </w:rPr>
              <w:t>Menimo, da</w:t>
            </w:r>
            <w:r>
              <w:rPr>
                <w:sz w:val="18"/>
                <w:szCs w:val="22"/>
              </w:rPr>
              <w:t xml:space="preserve"> </w:t>
            </w:r>
            <w:r w:rsidRPr="00F1411D">
              <w:rPr>
                <w:sz w:val="18"/>
                <w:szCs w:val="22"/>
              </w:rPr>
              <w:t>je razlika v kapici za različne velikosti plinskih turbin precej nesmiselna, saj je tudi izračunana cena za manjšo turbino pod nivoji cen, ki jih ima SOPO za določene produkte trenutno.</w:t>
            </w:r>
          </w:p>
        </w:tc>
        <w:tc>
          <w:tcPr>
            <w:tcW w:w="0" w:type="auto"/>
            <w:tcBorders>
              <w:top w:val="single" w:sz="4" w:space="0" w:color="auto"/>
              <w:bottom w:val="single" w:sz="4" w:space="0" w:color="auto"/>
              <w:right w:val="single" w:sz="4" w:space="0" w:color="auto"/>
            </w:tcBorders>
          </w:tcPr>
          <w:p w:rsidR="00850471" w:rsidRPr="00F1411D" w:rsidRDefault="00850471" w:rsidP="002F1983">
            <w:pPr>
              <w:pStyle w:val="Pripombabesedilo"/>
              <w:rPr>
                <w:sz w:val="18"/>
                <w:szCs w:val="22"/>
              </w:rPr>
            </w:pPr>
            <w:r>
              <w:rPr>
                <w:sz w:val="18"/>
                <w:szCs w:val="22"/>
              </w:rPr>
              <w:t xml:space="preserve">Agencija je pri določitvi posameznih stroškov izhajala iz referenčnih enot, ki tehnološko ustrezajo stanju. Ob analizi in vključevanju stroškov je bil namen čim podrobneje opredeliti pripadajoče stroške posamezne enote k namenu – izvajanju posamezne </w:t>
            </w:r>
            <w:r>
              <w:rPr>
                <w:sz w:val="18"/>
                <w:szCs w:val="22"/>
              </w:rPr>
              <w:lastRenderedPageBreak/>
              <w:t xml:space="preserve">sistemske storitve. Odstopanja posameznih vrednosti od tistih, ki veljajo, trenutno razumemo kot odstopanje posamezne enote od cene za posamezen produkt.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3. Stroški obratovanja – cena proizvedene električne energije iz TR 13. in 14.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rPr>
                <w:sz w:val="18"/>
              </w:rPr>
            </w:pPr>
            <w:r w:rsidRPr="0044289B">
              <w:rPr>
                <w:sz w:val="18"/>
              </w:rPr>
              <w:t>GEN energija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jc w:val="both"/>
              <w:rPr>
                <w:rFonts w:ascii="Verdana" w:hAnsi="Verdana" w:cs="Times New Roman"/>
                <w:sz w:val="18"/>
                <w:szCs w:val="22"/>
              </w:rPr>
            </w:pPr>
            <w:r w:rsidRPr="0044289B">
              <w:rPr>
                <w:rFonts w:ascii="Verdana" w:hAnsi="Verdana" w:cs="Times New Roman"/>
                <w:sz w:val="18"/>
                <w:szCs w:val="22"/>
              </w:rPr>
              <w:t>Kam v izračun sodijo omenjeni stroški? Ali je kakšen drug namen za opredeljevanje teh stroškov?</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 xml:space="preserve">Stroški obratovanja za potrebe TR niso navedeni v nobeni formuli Ali je poglavje odveč ali manjkajo stroški v formuli v 3. odst, 11 člena. </w:t>
            </w:r>
          </w:p>
          <w:p w:rsidR="00850471" w:rsidRPr="0044289B" w:rsidRDefault="00850471" w:rsidP="002F1983">
            <w:pPr>
              <w:pStyle w:val="Pripombabesedilo"/>
              <w:rPr>
                <w:sz w:val="18"/>
                <w:szCs w:val="22"/>
              </w:rPr>
            </w:pPr>
            <w:r w:rsidRPr="0044289B">
              <w:rPr>
                <w:sz w:val="18"/>
                <w:szCs w:val="22"/>
              </w:rPr>
              <w:t>Ali bodo zamejene tudi cene za proizvodnjo električne energije? Menimo, da to ni potrebno, saj električno energijo pokrivajo člani bilančne sheme in ti stroški niso financirani iz virov, ki jih potrjuje Agencija za energijo.</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 xml:space="preserve">Pripomba je sprejeta. Dodan je nov člen, ki opredeljuje stalne stroške obratovanja povezane.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24. člen</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rPr>
                <w:sz w:val="18"/>
              </w:rPr>
            </w:pPr>
            <w:r w:rsidRPr="0044289B">
              <w:rPr>
                <w:sz w:val="18"/>
              </w:rPr>
              <w:t>GEN energija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jc w:val="both"/>
              <w:rPr>
                <w:rFonts w:ascii="Verdana" w:hAnsi="Verdana" w:cs="Times New Roman"/>
                <w:sz w:val="18"/>
                <w:szCs w:val="22"/>
              </w:rPr>
            </w:pPr>
            <w:r w:rsidRPr="0044289B">
              <w:rPr>
                <w:rFonts w:ascii="Verdana" w:hAnsi="Verdana" w:cs="Times New Roman"/>
                <w:sz w:val="18"/>
                <w:szCs w:val="22"/>
              </w:rPr>
              <w:t>t</w:t>
            </w:r>
            <w:r w:rsidRPr="0044289B">
              <w:rPr>
                <w:rFonts w:ascii="Verdana" w:hAnsi="Verdana" w:cs="Times New Roman"/>
                <w:sz w:val="18"/>
                <w:szCs w:val="22"/>
                <w:vertAlign w:val="subscript"/>
              </w:rPr>
              <w:t>obr_PP_DEA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V tabeli 6 je navedeno samo povprečno letno trajanje periodičnih preizkusov temnega zagona za plinsko turbino, ne pa tudi letni čas obratovanja DEA med periodičnimi preizkusi.</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Pripomba upoštevana. Dodan je parameter za določitev povprečnega letnega</w:t>
            </w:r>
            <w:r w:rsidRPr="00086F50">
              <w:rPr>
                <w:sz w:val="18"/>
                <w:szCs w:val="22"/>
              </w:rPr>
              <w:t xml:space="preserve"> trajanj</w:t>
            </w:r>
            <w:r>
              <w:rPr>
                <w:sz w:val="18"/>
                <w:szCs w:val="22"/>
              </w:rPr>
              <w:t>a</w:t>
            </w:r>
            <w:r w:rsidRPr="00086F50">
              <w:rPr>
                <w:sz w:val="18"/>
                <w:szCs w:val="22"/>
              </w:rPr>
              <w:t xml:space="preserve"> periodičnih preizkusov temnega zagona pri di</w:t>
            </w:r>
            <w:r>
              <w:rPr>
                <w:sz w:val="18"/>
                <w:szCs w:val="22"/>
              </w:rPr>
              <w:t>z</w:t>
            </w:r>
            <w:r w:rsidRPr="00086F50">
              <w:rPr>
                <w:sz w:val="18"/>
                <w:szCs w:val="22"/>
              </w:rPr>
              <w:t>el agregatu</w:t>
            </w:r>
            <w:r>
              <w:rPr>
                <w:sz w:val="18"/>
                <w:szCs w:val="22"/>
              </w:rPr>
              <w:t>.</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Priloga 1</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rPr>
                <w:sz w:val="18"/>
              </w:rPr>
            </w:pPr>
            <w:r w:rsidRPr="0044289B">
              <w:rPr>
                <w:sz w:val="18"/>
              </w:rPr>
              <w:t>GEN energija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jc w:val="both"/>
              <w:rPr>
                <w:rFonts w:ascii="Verdana" w:hAnsi="Verdana" w:cs="Times New Roman"/>
                <w:sz w:val="18"/>
                <w:szCs w:val="22"/>
              </w:rPr>
            </w:pPr>
            <w:r w:rsidRPr="0044289B">
              <w:rPr>
                <w:rFonts w:ascii="Verdana" w:hAnsi="Verdana" w:cs="Times New Roman"/>
                <w:sz w:val="18"/>
                <w:szCs w:val="22"/>
              </w:rPr>
              <w:t>Neprimerna diskontna stopnja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Predlagamo višjo diskontno stopnjo in sicer vsaj na ravni 7,2 % kot je določena za omrežja oz. na nivoju zahtev donosnosti lastnika na nivoju 8 % na kapital in posledično ustrezen WACC.</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Agencija ostaja pri mnenju iz prve javne obravnave, kjer je opredelila, da d</w:t>
            </w:r>
            <w:r w:rsidRPr="00D32E10">
              <w:rPr>
                <w:sz w:val="18"/>
                <w:szCs w:val="22"/>
              </w:rPr>
              <w:t>iskontna stopnja odraža strošek denarja za izvedbo investicije. Ta strošek je povezan s splošnimi razmerami in (makro)ekonomskim stanjem države. Tako je DS različna za različne države in različne sektorje gospodarstva. Velikokrat se kot DS uporablja tehtano povprečje stroškov kapitala (WACC), pri čemer se upošteva</w:t>
            </w:r>
            <w:r>
              <w:rPr>
                <w:sz w:val="18"/>
                <w:szCs w:val="22"/>
              </w:rPr>
              <w:t>ta</w:t>
            </w:r>
            <w:r w:rsidRPr="00D32E10">
              <w:rPr>
                <w:sz w:val="18"/>
                <w:szCs w:val="22"/>
              </w:rPr>
              <w:t xml:space="preserve"> obrestna mera dolgoročnega kredita in donos na lastna vložena sredstva. Glede na to, da je 6-mesečni EURIBOR negativen in da se obresti za 10-letni kredit za najboljše najemnike gibljejo med 1,1 in 1,9</w:t>
            </w:r>
            <w:r>
              <w:rPr>
                <w:sz w:val="18"/>
                <w:szCs w:val="22"/>
              </w:rPr>
              <w:t> </w:t>
            </w:r>
            <w:r w:rsidRPr="00D32E10">
              <w:rPr>
                <w:sz w:val="18"/>
                <w:szCs w:val="22"/>
              </w:rPr>
              <w:t xml:space="preserve"> % letno, se ob upoštevanju različnih struktur financiranja investicij donosi na lastna sredstva gibljejo med 4,3 in 6,1 %. To je v danih pogojih in ciljnem namenu </w:t>
            </w:r>
            <w:r w:rsidRPr="00D32E10">
              <w:rPr>
                <w:sz w:val="18"/>
                <w:szCs w:val="22"/>
              </w:rPr>
              <w:lastRenderedPageBreak/>
              <w:t>primeren donos in opravičuje DS v vrednosti 3,1 %.</w:t>
            </w:r>
          </w:p>
        </w:tc>
      </w:tr>
      <w:tr w:rsidR="00850471" w:rsidRPr="0044289B" w:rsidTr="002F1983">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850471">
            <w:pPr>
              <w:pStyle w:val="Odstavekseznama"/>
              <w:numPr>
                <w:ilvl w:val="0"/>
                <w:numId w:val="15"/>
              </w:numPr>
              <w:rPr>
                <w:sz w:val="18"/>
              </w:rPr>
            </w:pP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rPr>
                <w:sz w:val="18"/>
              </w:rPr>
            </w:pPr>
            <w:r w:rsidRPr="0044289B">
              <w:rPr>
                <w:sz w:val="18"/>
              </w:rPr>
              <w:t>Splošen komentar</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rPr>
                <w:sz w:val="18"/>
              </w:rPr>
            </w:pPr>
            <w:r w:rsidRPr="0044289B">
              <w:rPr>
                <w:sz w:val="18"/>
              </w:rPr>
              <w:t>GEN energija d.o.o.</w:t>
            </w:r>
          </w:p>
        </w:tc>
        <w:tc>
          <w:tcPr>
            <w:tcW w:w="0" w:type="auto"/>
            <w:tcBorders>
              <w:top w:val="single" w:sz="4" w:space="0" w:color="auto"/>
              <w:left w:val="single" w:sz="4" w:space="0" w:color="auto"/>
              <w:bottom w:val="single" w:sz="4" w:space="0" w:color="auto"/>
              <w:right w:val="single" w:sz="4" w:space="0" w:color="auto"/>
            </w:tcBorders>
          </w:tcPr>
          <w:p w:rsidR="00850471" w:rsidRPr="0044289B" w:rsidRDefault="00850471" w:rsidP="002F1983">
            <w:pPr>
              <w:pStyle w:val="Default"/>
              <w:ind w:left="360"/>
              <w:jc w:val="both"/>
              <w:rPr>
                <w:rFonts w:ascii="Verdana" w:hAnsi="Verdana" w:cs="Times New Roman"/>
                <w:sz w:val="18"/>
                <w:szCs w:val="22"/>
              </w:rPr>
            </w:pP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sidRPr="0044289B">
              <w:rPr>
                <w:sz w:val="18"/>
                <w:szCs w:val="22"/>
              </w:rPr>
              <w:t>Akt sicer lepo ureja del financiranja izvajanja sistemskih storitev, Vendar se lahko Akt izkoristi za izigravanje proizvajalcev, saj stremi h konkurenci, s čimer splošni ni prav nič narobe in to podpiramo. Vendar se hkrati uvaja kapica tako, da proizvajalci tudi v času pomanjkanja produktov na trgu ne morejo izkoristiti tržnih priložnosti, saj se za te primere uporabi kapica iz tega Akta. Opozarjamo, da to vodi v zmanjševanje prostih kapacitet s strani proizvajalcev, kar lahko resno ogrozi pridobivanje ustreznih količin kapacitet za izvajanje sistemskih storitev in posledično delovanja Elektroenergetskega sistema.</w:t>
            </w:r>
          </w:p>
        </w:tc>
        <w:tc>
          <w:tcPr>
            <w:tcW w:w="0" w:type="auto"/>
            <w:tcBorders>
              <w:top w:val="single" w:sz="4" w:space="0" w:color="auto"/>
              <w:bottom w:val="single" w:sz="4" w:space="0" w:color="auto"/>
              <w:right w:val="single" w:sz="4" w:space="0" w:color="auto"/>
            </w:tcBorders>
          </w:tcPr>
          <w:p w:rsidR="00850471" w:rsidRPr="0044289B" w:rsidRDefault="00850471" w:rsidP="002F1983">
            <w:pPr>
              <w:pStyle w:val="Pripombabesedilo"/>
              <w:rPr>
                <w:sz w:val="18"/>
                <w:szCs w:val="22"/>
              </w:rPr>
            </w:pPr>
            <w:r>
              <w:rPr>
                <w:sz w:val="18"/>
                <w:szCs w:val="22"/>
              </w:rPr>
              <w:t xml:space="preserve">Splošni akt ureja določitev cen sistemskih storitev, ko obstajajo izredna stanja na trgu, ko ni konkurenčnih pogojev, oziroma sistemski operater ne more zagotoviti zadostnih sistemskih storitev. EZ-1 je v 74. členu predvidel pravice in dolžnosti udeležencev, ki bodo dolžni izvajati sistemske storitve pod navedenimi pogoji. </w:t>
            </w:r>
          </w:p>
        </w:tc>
      </w:tr>
    </w:tbl>
    <w:p w:rsidR="00850471" w:rsidRPr="001567C3" w:rsidRDefault="00850471" w:rsidP="00850471">
      <w:pPr>
        <w:rPr>
          <w:sz w:val="20"/>
        </w:rPr>
      </w:pPr>
    </w:p>
    <w:p w:rsidR="008A13DE" w:rsidRDefault="008A13DE">
      <w:bookmarkStart w:id="0" w:name="_GoBack"/>
      <w:bookmarkEnd w:id="0"/>
    </w:p>
    <w:sectPr w:rsidR="008A13DE" w:rsidSect="003879BA">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1"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 w15:restartNumberingAfterBreak="0">
    <w:nsid w:val="43FA18DF"/>
    <w:multiLevelType w:val="hybridMultilevel"/>
    <w:tmpl w:val="8AD6A2B8"/>
    <w:lvl w:ilvl="0" w:tplc="57885796">
      <w:start w:val="3"/>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4" w15:restartNumberingAfterBreak="0">
    <w:nsid w:val="63A85D74"/>
    <w:multiLevelType w:val="hybridMultilevel"/>
    <w:tmpl w:val="E444B92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6" w15:restartNumberingAfterBreak="0">
    <w:nsid w:val="7EEB647F"/>
    <w:multiLevelType w:val="hybridMultilevel"/>
    <w:tmpl w:val="6358A7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71"/>
    <w:rsid w:val="004332DF"/>
    <w:rsid w:val="004A007C"/>
    <w:rsid w:val="004C6A71"/>
    <w:rsid w:val="004D7546"/>
    <w:rsid w:val="005365BD"/>
    <w:rsid w:val="00810BE7"/>
    <w:rsid w:val="00850471"/>
    <w:rsid w:val="008A13DE"/>
    <w:rsid w:val="009C7469"/>
    <w:rsid w:val="00C90B4A"/>
    <w:rsid w:val="00DF6D95"/>
    <w:rsid w:val="00F92E58"/>
    <w:rsid w:val="00FB37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5AA7A-96C3-4E4F-AF2C-10FFB539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50471"/>
    <w:pPr>
      <w:spacing w:after="0" w:line="240" w:lineRule="auto"/>
      <w:jc w:val="both"/>
    </w:pPr>
    <w:rPr>
      <w:rFonts w:ascii="Verdana" w:hAnsi="Verdana" w:cs="Times New Roman"/>
      <w:color w:val="000000"/>
      <w:szCs w:val="20"/>
      <w:lang w:eastAsia="sl-SI"/>
    </w:rPr>
  </w:style>
  <w:style w:type="paragraph" w:styleId="Naslov1">
    <w:name w:val="heading 1"/>
    <w:basedOn w:val="Navaden"/>
    <w:next w:val="Navaden"/>
    <w:link w:val="Naslov1Znak"/>
    <w:qFormat/>
    <w:rsid w:val="00DF6D95"/>
    <w:pPr>
      <w:keepNext/>
      <w:numPr>
        <w:numId w:val="12"/>
      </w:numPr>
      <w:spacing w:before="60" w:after="60"/>
      <w:outlineLvl w:val="0"/>
    </w:pPr>
    <w:rPr>
      <w:b/>
      <w:caps/>
      <w:color w:val="000080"/>
      <w:sz w:val="32"/>
    </w:rPr>
  </w:style>
  <w:style w:type="paragraph" w:styleId="Naslov2">
    <w:name w:val="heading 2"/>
    <w:basedOn w:val="Navaden"/>
    <w:next w:val="Navaden"/>
    <w:link w:val="Naslov2Znak"/>
    <w:qFormat/>
    <w:rsid w:val="00DF6D95"/>
    <w:pPr>
      <w:keepNext/>
      <w:numPr>
        <w:ilvl w:val="1"/>
        <w:numId w:val="12"/>
      </w:numPr>
      <w:spacing w:before="60" w:after="60"/>
      <w:outlineLvl w:val="1"/>
    </w:pPr>
    <w:rPr>
      <w:color w:val="000080"/>
      <w:sz w:val="28"/>
    </w:rPr>
  </w:style>
  <w:style w:type="paragraph" w:styleId="Naslov3">
    <w:name w:val="heading 3"/>
    <w:basedOn w:val="Navaden"/>
    <w:next w:val="Navaden"/>
    <w:link w:val="Naslov3Znak"/>
    <w:qFormat/>
    <w:rsid w:val="00DF6D95"/>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DF6D95"/>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DF6D95"/>
    <w:pPr>
      <w:numPr>
        <w:ilvl w:val="4"/>
      </w:numPr>
      <w:spacing w:before="0"/>
      <w:jc w:val="left"/>
      <w:outlineLvl w:val="4"/>
    </w:pPr>
    <w:rPr>
      <w:b/>
      <w:color w:val="000000"/>
      <w:sz w:val="20"/>
    </w:rPr>
  </w:style>
  <w:style w:type="paragraph" w:styleId="Naslov6">
    <w:name w:val="heading 6"/>
    <w:basedOn w:val="Navaden"/>
    <w:next w:val="Navaden"/>
    <w:link w:val="Naslov6Znak"/>
    <w:qFormat/>
    <w:rsid w:val="00DF6D95"/>
    <w:pPr>
      <w:keepNext/>
      <w:numPr>
        <w:ilvl w:val="5"/>
        <w:numId w:val="12"/>
      </w:numPr>
      <w:outlineLvl w:val="5"/>
    </w:pPr>
    <w:rPr>
      <w:b/>
    </w:rPr>
  </w:style>
  <w:style w:type="paragraph" w:styleId="Naslov7">
    <w:name w:val="heading 7"/>
    <w:basedOn w:val="Navaden"/>
    <w:next w:val="Navaden"/>
    <w:link w:val="Naslov7Znak"/>
    <w:qFormat/>
    <w:rsid w:val="00DF6D95"/>
    <w:pPr>
      <w:numPr>
        <w:ilvl w:val="6"/>
        <w:numId w:val="12"/>
      </w:numPr>
      <w:spacing w:before="240" w:after="60"/>
      <w:outlineLvl w:val="6"/>
    </w:pPr>
  </w:style>
  <w:style w:type="paragraph" w:styleId="Naslov8">
    <w:name w:val="heading 8"/>
    <w:basedOn w:val="Navaden"/>
    <w:next w:val="Navaden"/>
    <w:link w:val="Naslov8Znak"/>
    <w:qFormat/>
    <w:rsid w:val="00DF6D95"/>
    <w:pPr>
      <w:numPr>
        <w:ilvl w:val="7"/>
        <w:numId w:val="12"/>
      </w:numPr>
      <w:spacing w:before="240" w:after="60"/>
      <w:outlineLvl w:val="7"/>
    </w:pPr>
    <w:rPr>
      <w:i/>
    </w:rPr>
  </w:style>
  <w:style w:type="paragraph" w:styleId="Naslov9">
    <w:name w:val="heading 9"/>
    <w:basedOn w:val="Navaden"/>
    <w:next w:val="Navaden"/>
    <w:link w:val="Naslov9Znak"/>
    <w:qFormat/>
    <w:rsid w:val="00DF6D95"/>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DF6D95"/>
    <w:pPr>
      <w:numPr>
        <w:numId w:val="1"/>
      </w:numPr>
      <w:spacing w:after="0" w:line="240" w:lineRule="auto"/>
    </w:pPr>
    <w:rPr>
      <w:rFonts w:ascii="Verdana" w:hAnsi="Verdana" w:cs="Times New Roman"/>
      <w:szCs w:val="20"/>
      <w:lang w:eastAsia="sl-SI"/>
    </w:rPr>
  </w:style>
  <w:style w:type="paragraph" w:customStyle="1" w:styleId="Alinea-2">
    <w:name w:val="Alinea-2"/>
    <w:rsid w:val="00DF6D95"/>
    <w:pPr>
      <w:numPr>
        <w:numId w:val="2"/>
      </w:numPr>
      <w:spacing w:after="0" w:line="240" w:lineRule="auto"/>
    </w:pPr>
    <w:rPr>
      <w:rFonts w:ascii="Verdana" w:hAnsi="Verdana" w:cs="Times New Roman"/>
      <w:szCs w:val="20"/>
      <w:lang w:eastAsia="sl-SI"/>
    </w:rPr>
  </w:style>
  <w:style w:type="paragraph" w:customStyle="1" w:styleId="Alinea-3">
    <w:name w:val="Alinea-3"/>
    <w:rsid w:val="00DF6D95"/>
    <w:pPr>
      <w:numPr>
        <w:numId w:val="3"/>
      </w:numPr>
      <w:spacing w:after="0" w:line="240" w:lineRule="auto"/>
      <w:ind w:left="1134"/>
      <w:jc w:val="both"/>
    </w:pPr>
    <w:rPr>
      <w:rFonts w:ascii="Verdana" w:hAnsi="Verdana" w:cs="Times New Roman"/>
      <w:noProof/>
      <w:szCs w:val="20"/>
      <w:lang w:eastAsia="sl-SI"/>
    </w:rPr>
  </w:style>
  <w:style w:type="paragraph" w:styleId="Glava">
    <w:name w:val="header"/>
    <w:basedOn w:val="Navaden"/>
    <w:link w:val="GlavaZnak"/>
    <w:rsid w:val="00DF6D95"/>
    <w:pPr>
      <w:tabs>
        <w:tab w:val="center" w:pos="4536"/>
        <w:tab w:val="right" w:pos="9072"/>
      </w:tabs>
    </w:pPr>
  </w:style>
  <w:style w:type="character" w:customStyle="1" w:styleId="GlavaZnak">
    <w:name w:val="Glava Znak"/>
    <w:basedOn w:val="Privzetapisavaodstavka"/>
    <w:link w:val="Glava"/>
    <w:semiHidden/>
    <w:rsid w:val="00DF6D95"/>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DF6D95"/>
    <w:pPr>
      <w:ind w:left="400" w:hanging="400"/>
    </w:pPr>
  </w:style>
  <w:style w:type="paragraph" w:styleId="Kazalovsebine1">
    <w:name w:val="toc 1"/>
    <w:basedOn w:val="Navaden"/>
    <w:next w:val="Navaden"/>
    <w:autoRedefine/>
    <w:semiHidden/>
    <w:rsid w:val="00DF6D95"/>
    <w:rPr>
      <w:b/>
    </w:rPr>
  </w:style>
  <w:style w:type="paragraph" w:styleId="Kazalovsebine2">
    <w:name w:val="toc 2"/>
    <w:basedOn w:val="Navaden"/>
    <w:next w:val="Navaden"/>
    <w:autoRedefine/>
    <w:semiHidden/>
    <w:rsid w:val="00DF6D95"/>
  </w:style>
  <w:style w:type="paragraph" w:styleId="Kazalovsebine3">
    <w:name w:val="toc 3"/>
    <w:basedOn w:val="Navaden"/>
    <w:next w:val="Navaden"/>
    <w:autoRedefine/>
    <w:semiHidden/>
    <w:rsid w:val="00DF6D95"/>
  </w:style>
  <w:style w:type="paragraph" w:styleId="Kazalovsebine4">
    <w:name w:val="toc 4"/>
    <w:basedOn w:val="Navaden"/>
    <w:next w:val="Navaden"/>
    <w:autoRedefine/>
    <w:semiHidden/>
    <w:rsid w:val="00DF6D95"/>
  </w:style>
  <w:style w:type="paragraph" w:styleId="Kazalovsebine5">
    <w:name w:val="toc 5"/>
    <w:basedOn w:val="Navaden"/>
    <w:next w:val="Navaden"/>
    <w:autoRedefine/>
    <w:semiHidden/>
    <w:rsid w:val="00DF6D95"/>
    <w:pPr>
      <w:ind w:left="800"/>
    </w:pPr>
  </w:style>
  <w:style w:type="paragraph" w:styleId="Kazalovsebine6">
    <w:name w:val="toc 6"/>
    <w:basedOn w:val="Navaden"/>
    <w:next w:val="Navaden"/>
    <w:autoRedefine/>
    <w:semiHidden/>
    <w:rsid w:val="00DF6D95"/>
    <w:pPr>
      <w:ind w:left="1000"/>
    </w:pPr>
  </w:style>
  <w:style w:type="paragraph" w:styleId="Kazalovsebine7">
    <w:name w:val="toc 7"/>
    <w:basedOn w:val="Navaden"/>
    <w:next w:val="Navaden"/>
    <w:autoRedefine/>
    <w:semiHidden/>
    <w:rsid w:val="00DF6D95"/>
    <w:pPr>
      <w:ind w:left="1200"/>
    </w:pPr>
  </w:style>
  <w:style w:type="paragraph" w:styleId="Kazalovsebine8">
    <w:name w:val="toc 8"/>
    <w:basedOn w:val="Navaden"/>
    <w:next w:val="Navaden"/>
    <w:autoRedefine/>
    <w:semiHidden/>
    <w:rsid w:val="00DF6D95"/>
    <w:pPr>
      <w:ind w:left="1400"/>
    </w:pPr>
  </w:style>
  <w:style w:type="paragraph" w:styleId="Kazalovsebine9">
    <w:name w:val="toc 9"/>
    <w:basedOn w:val="Navaden"/>
    <w:next w:val="Navaden"/>
    <w:autoRedefine/>
    <w:semiHidden/>
    <w:rsid w:val="00DF6D95"/>
    <w:pPr>
      <w:ind w:left="1600"/>
    </w:pPr>
  </w:style>
  <w:style w:type="paragraph" w:styleId="Napis">
    <w:name w:val="caption"/>
    <w:basedOn w:val="Navaden"/>
    <w:next w:val="Navaden"/>
    <w:qFormat/>
    <w:rsid w:val="00DF6D95"/>
    <w:pPr>
      <w:spacing w:before="60" w:after="60"/>
      <w:jc w:val="center"/>
    </w:pPr>
    <w:rPr>
      <w:i/>
    </w:rPr>
  </w:style>
  <w:style w:type="character" w:customStyle="1" w:styleId="Naslov1Znak">
    <w:name w:val="Naslov 1 Znak"/>
    <w:basedOn w:val="Privzetapisavaodstavka"/>
    <w:link w:val="Naslov1"/>
    <w:rsid w:val="00DF6D95"/>
    <w:rPr>
      <w:rFonts w:ascii="Verdana" w:eastAsia="Times New Roman" w:hAnsi="Verdana" w:cs="Times New Roman"/>
      <w:b/>
      <w:caps/>
      <w:color w:val="000080"/>
      <w:sz w:val="32"/>
      <w:szCs w:val="20"/>
      <w:lang w:eastAsia="sl-SI"/>
    </w:rPr>
  </w:style>
  <w:style w:type="character" w:customStyle="1" w:styleId="Naslov2Znak">
    <w:name w:val="Naslov 2 Znak"/>
    <w:basedOn w:val="Privzetapisavaodstavka"/>
    <w:link w:val="Naslov2"/>
    <w:rsid w:val="00DF6D95"/>
    <w:rPr>
      <w:rFonts w:ascii="Verdana" w:eastAsia="Times New Roman" w:hAnsi="Verdana" w:cs="Times New Roman"/>
      <w:color w:val="000080"/>
      <w:sz w:val="28"/>
      <w:szCs w:val="20"/>
      <w:lang w:eastAsia="sl-SI"/>
    </w:rPr>
  </w:style>
  <w:style w:type="character" w:customStyle="1" w:styleId="Naslov3Znak">
    <w:name w:val="Naslov 3 Znak"/>
    <w:basedOn w:val="Privzetapisavaodstavka"/>
    <w:link w:val="Naslov3"/>
    <w:rsid w:val="00DF6D95"/>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DF6D95"/>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DF6D95"/>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DF6D95"/>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DF6D95"/>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DF6D95"/>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DF6D95"/>
    <w:rPr>
      <w:rFonts w:ascii="Verdana" w:eastAsia="Times New Roman" w:hAnsi="Verdana" w:cs="Times New Roman"/>
      <w:b/>
      <w:i/>
      <w:color w:val="000000"/>
      <w:sz w:val="18"/>
      <w:szCs w:val="20"/>
      <w:lang w:eastAsia="sl-SI"/>
    </w:rPr>
  </w:style>
  <w:style w:type="paragraph" w:styleId="Noga">
    <w:name w:val="footer"/>
    <w:basedOn w:val="Navaden"/>
    <w:link w:val="NogaZnak"/>
    <w:semiHidden/>
    <w:rsid w:val="00DF6D95"/>
    <w:pPr>
      <w:tabs>
        <w:tab w:val="center" w:pos="4536"/>
        <w:tab w:val="right" w:pos="9072"/>
      </w:tabs>
    </w:pPr>
    <w:rPr>
      <w:i/>
    </w:rPr>
  </w:style>
  <w:style w:type="character" w:customStyle="1" w:styleId="NogaZnak">
    <w:name w:val="Noga Znak"/>
    <w:basedOn w:val="Privzetapisavaodstavka"/>
    <w:link w:val="Noga"/>
    <w:semiHidden/>
    <w:rsid w:val="00DF6D95"/>
    <w:rPr>
      <w:rFonts w:ascii="Verdana" w:eastAsia="Times New Roman" w:hAnsi="Verdana" w:cs="Times New Roman"/>
      <w:i/>
      <w:color w:val="000000"/>
      <w:szCs w:val="20"/>
      <w:lang w:eastAsia="sl-SI"/>
    </w:rPr>
  </w:style>
  <w:style w:type="paragraph" w:customStyle="1" w:styleId="Odstavek">
    <w:name w:val="Odstavek"/>
    <w:basedOn w:val="Navaden"/>
    <w:rsid w:val="00DF6D95"/>
    <w:pPr>
      <w:widowControl w:val="0"/>
      <w:spacing w:after="120"/>
    </w:pPr>
  </w:style>
  <w:style w:type="character" w:customStyle="1" w:styleId="Osebnislognovegasporoila">
    <w:name w:val="Osebni slog novega sporočila"/>
    <w:basedOn w:val="Privzetapisavaodstavka"/>
    <w:rsid w:val="00DF6D95"/>
    <w:rPr>
      <w:rFonts w:ascii="Arial" w:hAnsi="Arial" w:cs="Arial"/>
      <w:color w:val="auto"/>
      <w:sz w:val="20"/>
    </w:rPr>
  </w:style>
  <w:style w:type="character" w:customStyle="1" w:styleId="Osebnislogodgovora">
    <w:name w:val="Osebni slog odgovora"/>
    <w:basedOn w:val="Privzetapisavaodstavka"/>
    <w:rsid w:val="00DF6D95"/>
    <w:rPr>
      <w:rFonts w:ascii="Arial" w:hAnsi="Arial" w:cs="Arial"/>
      <w:color w:val="auto"/>
      <w:sz w:val="20"/>
    </w:rPr>
  </w:style>
  <w:style w:type="paragraph" w:customStyle="1" w:styleId="Stolpec">
    <w:name w:val="Stolpec"/>
    <w:basedOn w:val="Navaden"/>
    <w:rsid w:val="00DF6D95"/>
    <w:pPr>
      <w:keepNext/>
    </w:pPr>
  </w:style>
  <w:style w:type="character" w:styleId="tevilkastrani">
    <w:name w:val="page number"/>
    <w:basedOn w:val="Privzetapisavaodstavka"/>
    <w:semiHidden/>
    <w:rsid w:val="00DF6D95"/>
    <w:rPr>
      <w:rFonts w:ascii="Verdana" w:hAnsi="Verdana"/>
      <w:b/>
      <w:dstrike w:val="0"/>
      <w:sz w:val="18"/>
      <w:vertAlign w:val="baseline"/>
    </w:rPr>
  </w:style>
  <w:style w:type="paragraph" w:styleId="Telobesedila">
    <w:name w:val="Body Text"/>
    <w:basedOn w:val="Navaden"/>
    <w:link w:val="TelobesedilaZnak"/>
    <w:semiHidden/>
    <w:rsid w:val="00DF6D95"/>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DF6D95"/>
    <w:rPr>
      <w:rFonts w:ascii="Times New Roman" w:eastAsia="Times New Roman" w:hAnsi="Times New Roman" w:cs="Times New Roman"/>
      <w:color w:val="000000"/>
      <w:sz w:val="24"/>
      <w:szCs w:val="20"/>
      <w:lang w:eastAsia="sl-SI"/>
    </w:rPr>
  </w:style>
  <w:style w:type="paragraph" w:styleId="Odstavekseznama">
    <w:name w:val="List Paragraph"/>
    <w:basedOn w:val="Navaden"/>
    <w:uiPriority w:val="34"/>
    <w:qFormat/>
    <w:rsid w:val="00850471"/>
    <w:pPr>
      <w:ind w:left="720"/>
      <w:contextualSpacing/>
    </w:pPr>
  </w:style>
  <w:style w:type="paragraph" w:customStyle="1" w:styleId="Default">
    <w:name w:val="Default"/>
    <w:rsid w:val="00850471"/>
    <w:pPr>
      <w:autoSpaceDE w:val="0"/>
      <w:autoSpaceDN w:val="0"/>
      <w:adjustRightInd w:val="0"/>
      <w:spacing w:after="0" w:line="240" w:lineRule="auto"/>
    </w:pPr>
    <w:rPr>
      <w:rFonts w:ascii="Arial" w:hAnsi="Arial" w:cs="Arial"/>
      <w:color w:val="000000"/>
      <w:sz w:val="24"/>
      <w:szCs w:val="24"/>
      <w:lang w:eastAsia="sl-SI"/>
    </w:rPr>
  </w:style>
  <w:style w:type="paragraph" w:styleId="Pripombabesedilo">
    <w:name w:val="annotation text"/>
    <w:basedOn w:val="Navaden"/>
    <w:link w:val="PripombabesediloZnak"/>
    <w:uiPriority w:val="99"/>
    <w:unhideWhenUsed/>
    <w:rsid w:val="00850471"/>
    <w:rPr>
      <w:sz w:val="20"/>
    </w:rPr>
  </w:style>
  <w:style w:type="character" w:customStyle="1" w:styleId="PripombabesediloZnak">
    <w:name w:val="Pripomba – besedilo Znak"/>
    <w:basedOn w:val="Privzetapisavaodstavka"/>
    <w:link w:val="Pripombabesedilo"/>
    <w:uiPriority w:val="99"/>
    <w:rsid w:val="00850471"/>
    <w:rPr>
      <w:rFonts w:ascii="Verdana" w:hAnsi="Verdana" w:cs="Times New Roman"/>
      <w:color w:val="000000"/>
      <w:sz w:val="20"/>
      <w:szCs w:val="20"/>
      <w:lang w:eastAsia="sl-SI"/>
    </w:rPr>
  </w:style>
  <w:style w:type="character" w:styleId="Hiperpovezava">
    <w:name w:val="Hyperlink"/>
    <w:basedOn w:val="Privzetapisavaodstavka"/>
    <w:uiPriority w:val="99"/>
    <w:unhideWhenUsed/>
    <w:rsid w:val="00850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ajda/AppData/Local/Microsoft/Windows/Temporary%20Internet%20Files/Content.Outlook/2NIJ1G05/www.delo.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4627</Words>
  <Characters>26377</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Zupanc</dc:creator>
  <cp:keywords/>
  <dc:description/>
  <cp:lastModifiedBy>Lidija Zupanc</cp:lastModifiedBy>
  <cp:revision>1</cp:revision>
  <dcterms:created xsi:type="dcterms:W3CDTF">2017-12-11T10:34:00Z</dcterms:created>
  <dcterms:modified xsi:type="dcterms:W3CDTF">2017-12-11T10:35:00Z</dcterms:modified>
</cp:coreProperties>
</file>